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C9A961"/>
          <w:sz w:val="28"/>
        </w:rPr>
        <w:t>ISO/IEC 27001:2022</w:t>
      </w:r>
    </w:p>
    <w:p>
      <w:pPr>
        <w:spacing w:before="400"/>
        <w:jc w:val="center"/>
      </w:pPr>
      <w:r>
        <w:rPr>
          <w:b/>
          <w:color w:val="1F3A5F"/>
          <w:sz w:val="48"/>
        </w:rPr>
        <w:t>Revue de direction du SMSI</w:t>
      </w:r>
    </w:p>
    <w:p>
      <w:pPr>
        <w:jc w:val="center"/>
      </w:pPr>
      <w:r>
        <w:rPr>
          <w:i/>
          <w:color w:val="555555"/>
          <w:sz w:val="26"/>
        </w:rPr>
        <w:t>Clause 9.3 — Management Review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118"/>
        <w:gridCol w:w="4535"/>
      </w:tblGrid>
      <w:tr>
        <w:tc>
          <w:tcPr>
            <w:tcW w:type="dxa" w:w="4986"/>
            <w:shd w:fill="F4F1EA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b/>
                <w:sz w:val="20"/>
              </w:rPr>
              <w:t>Référence document</w:t>
            </w:r>
          </w:p>
        </w:tc>
        <w:tc>
          <w:tcPr>
            <w:tcW w:type="dxa" w:w="4986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sz w:val="20"/>
              </w:rPr>
              <w:t>DOC-SMSI-RDD-001</w:t>
            </w:r>
          </w:p>
        </w:tc>
      </w:tr>
      <w:tr>
        <w:tc>
          <w:tcPr>
            <w:tcW w:type="dxa" w:w="4986"/>
            <w:shd w:fill="F4F1EA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b/>
                <w:sz w:val="20"/>
              </w:rPr>
              <w:t>Version</w:t>
            </w:r>
          </w:p>
        </w:tc>
        <w:tc>
          <w:tcPr>
            <w:tcW w:type="dxa" w:w="4986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sz w:val="20"/>
              </w:rPr>
              <w:t>1.0</w:t>
            </w:r>
          </w:p>
        </w:tc>
      </w:tr>
      <w:tr>
        <w:tc>
          <w:tcPr>
            <w:tcW w:type="dxa" w:w="4986"/>
            <w:shd w:fill="F4F1EA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b/>
                <w:sz w:val="20"/>
              </w:rPr>
              <w:t>Date de publication</w:t>
            </w:r>
          </w:p>
        </w:tc>
        <w:tc>
          <w:tcPr>
            <w:tcW w:type="dxa" w:w="4986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sz w:val="20"/>
              </w:rPr>
              <w:t>15/05/2026</w:t>
            </w:r>
          </w:p>
        </w:tc>
      </w:tr>
      <w:tr>
        <w:tc>
          <w:tcPr>
            <w:tcW w:type="dxa" w:w="4986"/>
            <w:shd w:fill="F4F1EA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b/>
                <w:sz w:val="20"/>
              </w:rPr>
              <w:t>Statut</w:t>
            </w:r>
          </w:p>
        </w:tc>
        <w:tc>
          <w:tcPr>
            <w:tcW w:type="dxa" w:w="4986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sz w:val="20"/>
              </w:rPr>
              <w:t>Modèle — à adapter au contexte</w:t>
            </w:r>
          </w:p>
        </w:tc>
      </w:tr>
      <w:tr>
        <w:tc>
          <w:tcPr>
            <w:tcW w:type="dxa" w:w="4986"/>
            <w:shd w:fill="F4F1EA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b/>
                <w:sz w:val="20"/>
              </w:rPr>
              <w:t>Diffusion</w:t>
            </w:r>
          </w:p>
        </w:tc>
        <w:tc>
          <w:tcPr>
            <w:tcW w:type="dxa" w:w="4986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sz w:val="20"/>
              </w:rPr>
              <w:t>Usage interne — Confidentiel C2</w:t>
            </w:r>
          </w:p>
        </w:tc>
      </w:tr>
    </w:tbl>
    <w:p>
      <w:pPr>
        <w:spacing w:before="600"/>
        <w:jc w:val="both"/>
      </w:pPr>
      <w:r>
        <w:rPr>
          <w:i/>
          <w:color w:val="555555"/>
          <w:sz w:val="18"/>
        </w:rPr>
        <w:t>Ce modèle est fourni gratuitement par ayinedjimi-consultants.fr à des fins pédagogiques et de support à la mise en conformité ISO/IEC 27001:2022. Il doit être adapté au contexte, au périmètre et aux exigences spécifiques de l'organisme utilisateur. La responsabilité de la conformité finale incombe à l'utilisateur. Toute reproduction commerciale est interdite.</w:t>
      </w:r>
    </w:p>
    <w:p>
      <w:r>
        <w:br w:type="page"/>
      </w:r>
    </w:p>
    <w:p>
      <w:pPr>
        <w:spacing w:after="240"/>
      </w:pPr>
      <w:r>
        <w:rPr>
          <w:b/>
          <w:color w:val="1F3A5F"/>
          <w:sz w:val="36"/>
        </w:rPr>
        <w:t>Sommaire</w:t>
      </w:r>
    </w:p>
    <w:p>
      <w:pPr>
        <w:ind w:left="0"/>
      </w:pPr>
      <w:r>
        <w:rPr>
          <w:b/>
          <w:color w:val="1F3A5F"/>
          <w:sz w:val="22"/>
        </w:rPr>
        <w:t>1  Objet et fréquence</w:t>
      </w:r>
    </w:p>
    <w:p>
      <w:pPr>
        <w:ind w:left="0"/>
      </w:pPr>
      <w:r>
        <w:rPr>
          <w:b/>
          <w:color w:val="1F3A5F"/>
          <w:sz w:val="22"/>
        </w:rPr>
        <w:t>2  Participants et présidence</w:t>
      </w:r>
    </w:p>
    <w:p>
      <w:pPr>
        <w:ind w:left="0"/>
      </w:pPr>
      <w:r>
        <w:rPr>
          <w:b/>
          <w:color w:val="1F3A5F"/>
          <w:sz w:val="22"/>
        </w:rPr>
        <w:t>3  Ordre du jour (agenda)</w:t>
      </w:r>
    </w:p>
    <w:p>
      <w:pPr>
        <w:ind w:left="0"/>
      </w:pPr>
      <w:r>
        <w:rPr>
          <w:b/>
          <w:color w:val="1F3A5F"/>
          <w:sz w:val="22"/>
        </w:rPr>
        <w:t>4  Inputs obligatoires (clause 9.3.2)</w:t>
      </w:r>
    </w:p>
    <w:p>
      <w:pPr>
        <w:ind w:left="283"/>
      </w:pPr>
      <w:r>
        <w:rPr>
          <w:sz w:val="22"/>
        </w:rPr>
        <w:t>4.1  État des actions de la revue précédente</w:t>
      </w:r>
    </w:p>
    <w:p>
      <w:pPr>
        <w:ind w:left="283"/>
      </w:pPr>
      <w:r>
        <w:rPr>
          <w:sz w:val="22"/>
        </w:rPr>
        <w:t>4.2  Évolution du contexte interne et externe</w:t>
      </w:r>
    </w:p>
    <w:p>
      <w:pPr>
        <w:ind w:left="283"/>
      </w:pPr>
      <w:r>
        <w:rPr>
          <w:sz w:val="22"/>
        </w:rPr>
        <w:t>4.3  Évolution des parties intéressées</w:t>
      </w:r>
    </w:p>
    <w:p>
      <w:pPr>
        <w:ind w:left="283"/>
      </w:pPr>
      <w:r>
        <w:rPr>
          <w:sz w:val="22"/>
        </w:rPr>
        <w:t>4.4  Performance du SMSI</w:t>
      </w:r>
    </w:p>
    <w:p>
      <w:pPr>
        <w:ind w:left="283"/>
      </w:pPr>
      <w:r>
        <w:rPr>
          <w:sz w:val="22"/>
        </w:rPr>
        <w:t>4.5  Retours sur les non-conformités et actions</w:t>
      </w:r>
    </w:p>
    <w:p>
      <w:pPr>
        <w:ind w:left="283"/>
      </w:pPr>
      <w:r>
        <w:rPr>
          <w:sz w:val="22"/>
        </w:rPr>
        <w:t>4.6  Résultats d'évaluation des risques et plan de traitement</w:t>
      </w:r>
    </w:p>
    <w:p>
      <w:pPr>
        <w:ind w:left="283"/>
      </w:pPr>
      <w:r>
        <w:rPr>
          <w:sz w:val="22"/>
        </w:rPr>
        <w:t>4.7  Opportunités d'amélioration continue</w:t>
      </w:r>
    </w:p>
    <w:p>
      <w:pPr>
        <w:ind w:left="283"/>
      </w:pPr>
      <w:r>
        <w:rPr>
          <w:sz w:val="22"/>
        </w:rPr>
        <w:t>4.8  Retours d'autres parties intéressées</w:t>
      </w:r>
    </w:p>
    <w:p>
      <w:pPr>
        <w:ind w:left="0"/>
      </w:pPr>
      <w:r>
        <w:rPr>
          <w:b/>
          <w:color w:val="1F3A5F"/>
          <w:sz w:val="22"/>
        </w:rPr>
        <w:t>5  Décisions (outputs — clause 9.3.3)</w:t>
      </w:r>
    </w:p>
    <w:p>
      <w:pPr>
        <w:ind w:left="0"/>
      </w:pPr>
      <w:r>
        <w:rPr>
          <w:b/>
          <w:color w:val="1F3A5F"/>
          <w:sz w:val="22"/>
        </w:rPr>
        <w:t>6  Procès-verbal type</w:t>
      </w:r>
    </w:p>
    <w:p>
      <w:pPr>
        <w:ind w:left="0"/>
      </w:pPr>
      <w:r>
        <w:rPr>
          <w:b/>
          <w:color w:val="1F3A5F"/>
          <w:sz w:val="22"/>
        </w:rPr>
        <w:t>7  Plan d'actions consolidé</w:t>
      </w:r>
    </w:p>
    <w:p>
      <w:pPr>
        <w:ind w:left="0"/>
      </w:pPr>
      <w:r>
        <w:rPr>
          <w:b/>
          <w:color w:val="1F3A5F"/>
          <w:sz w:val="22"/>
        </w:rPr>
        <w:t>8  Validation et signatures</w:t>
      </w:r>
    </w:p>
    <w:p>
      <w:r>
        <w:br w:type="page"/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1  Objet et fréquence</w:t>
      </w:r>
    </w:p>
    <w:p>
      <w:pPr>
        <w:jc w:val="both"/>
      </w:pPr>
      <w:r>
        <w:rPr>
          <w:b w:val="0"/>
          <w:i w:val="0"/>
          <w:sz w:val="22"/>
        </w:rPr>
        <w:t>La revue de direction du SMSI répond à l'exigence de la clause 9.3 de la norme ISO/IEC 27001:2022. Elle vise à s'assurer que le SMSI demeure pertinent, adéquat et efficace. Elle constitue le moment privilégié où la Direction Générale exerce son rôle de leadership (clause 5.1) et alloue les ressources nécessaires.</w:t>
      </w:r>
    </w:p>
    <w:p>
      <w:pPr>
        <w:pStyle w:val="ListBullet"/>
        <w:ind w:left="283"/>
      </w:pPr>
      <w:r/>
      <w:r>
        <w:rPr>
          <w:sz w:val="22"/>
        </w:rPr>
        <w:t>Fréquence minimale : 1 fois par an</w:t>
      </w:r>
    </w:p>
    <w:p>
      <w:pPr>
        <w:pStyle w:val="ListBullet"/>
        <w:ind w:left="283"/>
      </w:pPr>
      <w:r/>
      <w:r>
        <w:rPr>
          <w:sz w:val="22"/>
        </w:rPr>
        <w:t>Fréquence recommandée : 2 fois par an (semestriel)</w:t>
      </w:r>
    </w:p>
    <w:p>
      <w:pPr>
        <w:pStyle w:val="ListBullet"/>
        <w:ind w:left="283"/>
      </w:pPr>
      <w:r/>
      <w:r>
        <w:rPr>
          <w:sz w:val="22"/>
        </w:rPr>
        <w:t>Revue extraordinaire : déclenchée sur incident majeur, M&amp;A, changement réglementaire significatif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2  Participants et présidence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2268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Rôle</w:t>
            </w:r>
          </w:p>
        </w:tc>
        <w:tc>
          <w:tcPr>
            <w:tcW w:type="dxa" w:w="3969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Participant</w:t>
            </w:r>
          </w:p>
        </w:tc>
        <w:tc>
          <w:tcPr>
            <w:tcW w:type="dxa" w:w="2268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Présence</w:t>
            </w:r>
          </w:p>
        </w:tc>
      </w:tr>
      <w:tr>
        <w:tc>
          <w:tcPr>
            <w:tcW w:type="dxa" w:w="2268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Président de séance</w:t>
            </w:r>
          </w:p>
        </w:tc>
        <w:tc>
          <w:tcPr>
            <w:tcW w:type="dxa" w:w="3969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Directeur Général (ou délégué)</w:t>
            </w:r>
          </w:p>
        </w:tc>
        <w:tc>
          <w:tcPr>
            <w:tcW w:type="dxa" w:w="2268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Obligatoire</w:t>
            </w:r>
          </w:p>
        </w:tc>
      </w:tr>
      <w:tr>
        <w:tc>
          <w:tcPr>
            <w:tcW w:type="dxa" w:w="2268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Pilote SMSI</w:t>
            </w:r>
          </w:p>
        </w:tc>
        <w:tc>
          <w:tcPr>
            <w:tcW w:type="dxa" w:w="3969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RSSI</w:t>
            </w:r>
          </w:p>
        </w:tc>
        <w:tc>
          <w:tcPr>
            <w:tcW w:type="dxa" w:w="2268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Obligatoire</w:t>
            </w:r>
          </w:p>
        </w:tc>
      </w:tr>
      <w:tr>
        <w:tc>
          <w:tcPr>
            <w:tcW w:type="dxa" w:w="2268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Membres permanents</w:t>
            </w:r>
          </w:p>
        </w:tc>
        <w:tc>
          <w:tcPr>
            <w:tcW w:type="dxa" w:w="3969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DSI, DPO, Directeur Juridique, DRH, Directeur Audit interne</w:t>
            </w:r>
          </w:p>
        </w:tc>
        <w:tc>
          <w:tcPr>
            <w:tcW w:type="dxa" w:w="2268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Obligatoire</w:t>
            </w:r>
          </w:p>
        </w:tc>
      </w:tr>
      <w:tr>
        <w:tc>
          <w:tcPr>
            <w:tcW w:type="dxa" w:w="2268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Représentants métier</w:t>
            </w:r>
          </w:p>
        </w:tc>
        <w:tc>
          <w:tcPr>
            <w:tcW w:type="dxa" w:w="3969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Directeurs métier ou délégués</w:t>
            </w:r>
          </w:p>
        </w:tc>
        <w:tc>
          <w:tcPr>
            <w:tcW w:type="dxa" w:w="2268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Obligatoire</w:t>
            </w:r>
          </w:p>
        </w:tc>
      </w:tr>
      <w:tr>
        <w:tc>
          <w:tcPr>
            <w:tcW w:type="dxa" w:w="2268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Invités selon ordre du jour</w:t>
            </w:r>
          </w:p>
        </w:tc>
        <w:tc>
          <w:tcPr>
            <w:tcW w:type="dxa" w:w="3969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Architecte sécurité, MSSP, auditeurs externes</w:t>
            </w:r>
          </w:p>
        </w:tc>
        <w:tc>
          <w:tcPr>
            <w:tcW w:type="dxa" w:w="2268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Sur invitation</w:t>
            </w:r>
          </w:p>
        </w:tc>
      </w:tr>
      <w:tr>
        <w:tc>
          <w:tcPr>
            <w:tcW w:type="dxa" w:w="2268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Secrétariat</w:t>
            </w:r>
          </w:p>
        </w:tc>
        <w:tc>
          <w:tcPr>
            <w:tcW w:type="dxa" w:w="3969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Assistant(e) de direction ou GRC</w:t>
            </w:r>
          </w:p>
        </w:tc>
        <w:tc>
          <w:tcPr>
            <w:tcW w:type="dxa" w:w="2268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Obligatoire</w:t>
            </w:r>
          </w:p>
        </w:tc>
      </w:tr>
    </w:tbl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3  Ordre du jour (agenda)</w:t>
      </w:r>
    </w:p>
    <w:p>
      <w:pPr>
        <w:jc w:val="both"/>
      </w:pPr>
      <w:r>
        <w:rPr>
          <w:b w:val="0"/>
          <w:i w:val="0"/>
          <w:sz w:val="22"/>
        </w:rPr>
        <w:t>Durée recommandée : 2 à 3 heures. Agenda type :</w:t>
      </w:r>
    </w:p>
    <w:p>
      <w:pPr>
        <w:pStyle w:val="ListNumber"/>
      </w:pPr>
      <w:r>
        <w:rPr>
          <w:sz w:val="22"/>
        </w:rPr>
        <w:t>Validation du PV de la revue précédente (5 min)</w:t>
      </w:r>
    </w:p>
    <w:p>
      <w:pPr>
        <w:pStyle w:val="ListNumber"/>
      </w:pPr>
      <w:r>
        <w:rPr>
          <w:sz w:val="22"/>
        </w:rPr>
        <w:t>État des actions et décisions de la revue précédente (15 min)</w:t>
      </w:r>
    </w:p>
    <w:p>
      <w:pPr>
        <w:pStyle w:val="ListNumber"/>
      </w:pPr>
      <w:r>
        <w:rPr>
          <w:sz w:val="22"/>
        </w:rPr>
        <w:t>Évolution du contexte et des parties intéressées (15 min)</w:t>
      </w:r>
    </w:p>
    <w:p>
      <w:pPr>
        <w:pStyle w:val="ListNumber"/>
      </w:pPr>
      <w:r>
        <w:rPr>
          <w:sz w:val="22"/>
        </w:rPr>
        <w:t>Performance du SMSI — indicateurs et tableau de bord (20 min)</w:t>
      </w:r>
    </w:p>
    <w:p>
      <w:pPr>
        <w:pStyle w:val="ListNumber"/>
      </w:pPr>
      <w:r>
        <w:rPr>
          <w:sz w:val="22"/>
        </w:rPr>
        <w:t>Non-conformités, audits, retours d'auditeurs (15 min)</w:t>
      </w:r>
    </w:p>
    <w:p>
      <w:pPr>
        <w:pStyle w:val="ListNumber"/>
      </w:pPr>
      <w:r>
        <w:rPr>
          <w:sz w:val="22"/>
        </w:rPr>
        <w:t>Risques — évolution, traitement, risques résiduels (20 min)</w:t>
      </w:r>
    </w:p>
    <w:p>
      <w:pPr>
        <w:pStyle w:val="ListNumber"/>
      </w:pPr>
      <w:r>
        <w:rPr>
          <w:sz w:val="22"/>
        </w:rPr>
        <w:t>Incidents et tests (PCA, exercices, phishing) (15 min)</w:t>
      </w:r>
    </w:p>
    <w:p>
      <w:pPr>
        <w:pStyle w:val="ListNumber"/>
      </w:pPr>
      <w:r>
        <w:rPr>
          <w:sz w:val="22"/>
        </w:rPr>
        <w:t>Opportunités d'amélioration et arbitrages (20 min)</w:t>
      </w:r>
    </w:p>
    <w:p>
      <w:pPr>
        <w:pStyle w:val="ListNumber"/>
      </w:pPr>
      <w:r>
        <w:rPr>
          <w:sz w:val="22"/>
        </w:rPr>
        <w:t>Décisions et plan d'actions (15 min)</w:t>
      </w:r>
    </w:p>
    <w:p>
      <w:pPr>
        <w:pStyle w:val="ListNumber"/>
      </w:pPr>
      <w:r>
        <w:rPr>
          <w:sz w:val="22"/>
        </w:rPr>
        <w:t>Validation du PV et signatures (5 min)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4  Inputs obligatoires (clause 9.3.2)</w:t>
      </w:r>
    </w:p>
    <w:p>
      <w:pPr>
        <w:jc w:val="both"/>
      </w:pPr>
      <w:r>
        <w:rPr>
          <w:b w:val="0"/>
          <w:i w:val="0"/>
          <w:sz w:val="22"/>
        </w:rPr>
        <w:t>La clause 9.3.2 énumère 8 inputs obligatoires à présenter en revue de direction :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4.1  État des actions de la revue précédente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850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N°</w:t>
            </w:r>
          </w:p>
        </w:tc>
        <w:tc>
          <w:tcPr>
            <w:tcW w:type="dxa" w:w="2268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Action décidée</w:t>
            </w:r>
          </w:p>
        </w:tc>
        <w:tc>
          <w:tcPr>
            <w:tcW w:type="dxa" w:w="1134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Échéance</w:t>
            </w:r>
          </w:p>
        </w:tc>
        <w:tc>
          <w:tcPr>
            <w:tcW w:type="dxa" w:w="1134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1417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Statut</w:t>
            </w:r>
          </w:p>
        </w:tc>
        <w:tc>
          <w:tcPr>
            <w:tcW w:type="dxa" w:w="1701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Commentaire</w:t>
            </w:r>
          </w:p>
        </w:tc>
      </w:tr>
      <w:tr>
        <w:tc>
          <w:tcPr>
            <w:tcW w:type="dxa" w:w="850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A-2025-01</w:t>
            </w:r>
          </w:p>
        </w:tc>
        <w:tc>
          <w:tcPr>
            <w:tcW w:type="dxa" w:w="2268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[Description]</w:t>
            </w:r>
          </w:p>
        </w:tc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[Date]</w:t>
            </w:r>
          </w:p>
        </w:tc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[Nom]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[Réalisé/En cours/Reporté]</w:t>
            </w:r>
          </w:p>
        </w:tc>
        <w:tc>
          <w:tcPr>
            <w:tcW w:type="dxa" w:w="170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[Détails]</w:t>
            </w:r>
          </w:p>
        </w:tc>
      </w:tr>
      <w:tr>
        <w:tc>
          <w:tcPr>
            <w:tcW w:type="dxa" w:w="850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A-2025-02</w:t>
            </w:r>
          </w:p>
        </w:tc>
        <w:tc>
          <w:tcPr>
            <w:tcW w:type="dxa" w:w="2268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[Description]</w:t>
            </w:r>
          </w:p>
        </w:tc>
        <w:tc>
          <w:tcPr>
            <w:tcW w:type="dxa" w:w="113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[Date]</w:t>
            </w:r>
          </w:p>
        </w:tc>
        <w:tc>
          <w:tcPr>
            <w:tcW w:type="dxa" w:w="113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[Nom]</w:t>
            </w:r>
          </w:p>
        </w:tc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[Statut]</w:t>
            </w:r>
          </w:p>
        </w:tc>
        <w:tc>
          <w:tcPr>
            <w:tcW w:type="dxa" w:w="170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[Détails]</w:t>
            </w:r>
          </w:p>
        </w:tc>
      </w:tr>
      <w:tr>
        <w:tc>
          <w:tcPr>
            <w:tcW w:type="dxa" w:w="850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A-2025-03</w:t>
            </w:r>
          </w:p>
        </w:tc>
        <w:tc>
          <w:tcPr>
            <w:tcW w:type="dxa" w:w="2268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[Description]</w:t>
            </w:r>
          </w:p>
        </w:tc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[Date]</w:t>
            </w:r>
          </w:p>
        </w:tc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[Nom]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[Statut]</w:t>
            </w:r>
          </w:p>
        </w:tc>
        <w:tc>
          <w:tcPr>
            <w:tcW w:type="dxa" w:w="170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[Détails]</w:t>
            </w:r>
          </w:p>
        </w:tc>
      </w:tr>
    </w:tbl>
    <w:p>
      <w:pPr>
        <w:keepNext/>
        <w:spacing w:before="280" w:after="120"/>
      </w:pPr>
      <w:r>
        <w:rPr>
          <w:b/>
          <w:color w:val="1F3A5F"/>
          <w:sz w:val="26"/>
        </w:rPr>
        <w:t>4.2  Évolution du contexte interne et externe (clause 4.1)</w:t>
      </w:r>
    </w:p>
    <w:p>
      <w:pPr>
        <w:pStyle w:val="ListBullet"/>
        <w:ind w:left="283"/>
      </w:pPr>
      <w:r/>
      <w:r>
        <w:rPr>
          <w:sz w:val="22"/>
        </w:rPr>
        <w:t>Changements organisationnels significatifs (M&amp;A, restructuration, nouveaux marchés)</w:t>
      </w:r>
    </w:p>
    <w:p>
      <w:pPr>
        <w:pStyle w:val="ListBullet"/>
        <w:ind w:left="283"/>
      </w:pPr>
      <w:r/>
      <w:r>
        <w:rPr>
          <w:sz w:val="22"/>
        </w:rPr>
        <w:t>Évolutions réglementaires (NIS 2, AI Act, CRA, sectoriel)</w:t>
      </w:r>
    </w:p>
    <w:p>
      <w:pPr>
        <w:pStyle w:val="ListBullet"/>
        <w:ind w:left="283"/>
      </w:pPr>
      <w:r/>
      <w:r>
        <w:rPr>
          <w:sz w:val="22"/>
        </w:rPr>
        <w:t>Évolutions du paysage des menaces (panorama CERT-FR, threat intel)</w:t>
      </w:r>
    </w:p>
    <w:p>
      <w:pPr>
        <w:pStyle w:val="ListBullet"/>
        <w:ind w:left="283"/>
      </w:pPr>
      <w:r/>
      <w:r>
        <w:rPr>
          <w:sz w:val="22"/>
        </w:rPr>
        <w:t>Évolutions technologiques (cloud, IA générative, OT, quantique)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4.3  Évolution des parties intéressées (clause 4.2)</w:t>
      </w:r>
    </w:p>
    <w:p>
      <w:pPr>
        <w:pStyle w:val="ListBullet"/>
        <w:ind w:left="283"/>
      </w:pPr>
      <w:r/>
      <w:r>
        <w:rPr>
          <w:sz w:val="22"/>
        </w:rPr>
        <w:t>Nouvelles attentes clients (audits, certifications exigées, exigences sectorielles)</w:t>
      </w:r>
    </w:p>
    <w:p>
      <w:pPr>
        <w:pStyle w:val="ListBullet"/>
        <w:ind w:left="283"/>
      </w:pPr>
      <w:r/>
      <w:r>
        <w:rPr>
          <w:sz w:val="22"/>
        </w:rPr>
        <w:t>Évolutions actionnariales ou gouvernance</w:t>
      </w:r>
    </w:p>
    <w:p>
      <w:pPr>
        <w:pStyle w:val="ListBullet"/>
        <w:ind w:left="283"/>
      </w:pPr>
      <w:r/>
      <w:r>
        <w:rPr>
          <w:sz w:val="22"/>
        </w:rPr>
        <w:t>Nouvelles autorités compétentes ou nouveaux régulateurs applicables</w:t>
      </w:r>
    </w:p>
    <w:p>
      <w:pPr>
        <w:pStyle w:val="ListBullet"/>
        <w:ind w:left="283"/>
      </w:pPr>
      <w:r/>
      <w:r>
        <w:rPr>
          <w:sz w:val="22"/>
        </w:rPr>
        <w:t>Évolution exigences fournisseurs critiques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4.4  Performance du SMSI</w:t>
      </w:r>
    </w:p>
    <w:p>
      <w:pPr>
        <w:jc w:val="both"/>
      </w:pPr>
      <w:r>
        <w:rPr>
          <w:b w:val="0"/>
          <w:i w:val="0"/>
          <w:sz w:val="22"/>
        </w:rPr>
        <w:t>Présenter le tableau de bord avec les indicateurs définis (réf. KPI-SMSI-001). Inputs clés :</w:t>
      </w:r>
    </w:p>
    <w:p>
      <w:pPr>
        <w:pStyle w:val="ListBullet"/>
        <w:ind w:left="283"/>
      </w:pPr>
      <w:r/>
      <w:r>
        <w:rPr>
          <w:sz w:val="22"/>
        </w:rPr>
        <w:t>Atteinte des objectifs SMSI (clause 6.2)</w:t>
      </w:r>
    </w:p>
    <w:p>
      <w:pPr>
        <w:pStyle w:val="ListBullet"/>
        <w:ind w:left="283"/>
      </w:pPr>
      <w:r/>
      <w:r>
        <w:rPr>
          <w:sz w:val="22"/>
        </w:rPr>
        <w:t>Indicateurs de surveillance (clause 9.1) — phishing, MFA, patch management, EDR, MTTD/MTTR</w:t>
      </w:r>
    </w:p>
    <w:p>
      <w:pPr>
        <w:pStyle w:val="ListBullet"/>
        <w:ind w:left="283"/>
      </w:pPr>
      <w:r/>
      <w:r>
        <w:rPr>
          <w:sz w:val="22"/>
        </w:rPr>
        <w:t>Résultats d'audits internes et externes</w:t>
      </w:r>
    </w:p>
    <w:p>
      <w:pPr>
        <w:pStyle w:val="ListBullet"/>
        <w:ind w:left="283"/>
      </w:pPr>
      <w:r/>
      <w:r>
        <w:rPr>
          <w:sz w:val="22"/>
        </w:rPr>
        <w:t>Niveau de maturité (CMMI sécurité ou équivalent)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4.5  Retours sur les non-conformités et actions correctives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134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NC</w:t>
            </w:r>
          </w:p>
        </w:tc>
        <w:tc>
          <w:tcPr>
            <w:tcW w:type="dxa" w:w="2268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1701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Origine</w:t>
            </w:r>
          </w:p>
        </w:tc>
        <w:tc>
          <w:tcPr>
            <w:tcW w:type="dxa" w:w="1417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Statut traitement</w:t>
            </w:r>
          </w:p>
        </w:tc>
        <w:tc>
          <w:tcPr>
            <w:tcW w:type="dxa" w:w="1984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Actions correctives</w:t>
            </w:r>
          </w:p>
        </w:tc>
      </w:tr>
      <w:tr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NC-2025-01</w:t>
            </w:r>
          </w:p>
        </w:tc>
        <w:tc>
          <w:tcPr>
            <w:tcW w:type="dxa" w:w="2268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[Description]</w:t>
            </w:r>
          </w:p>
        </w:tc>
        <w:tc>
          <w:tcPr>
            <w:tcW w:type="dxa" w:w="170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Audit interne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[Statut]</w:t>
            </w:r>
          </w:p>
        </w:tc>
        <w:tc>
          <w:tcPr>
            <w:tcW w:type="dxa" w:w="198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[Actions + dates]</w:t>
            </w:r>
          </w:p>
        </w:tc>
      </w:tr>
      <w:tr>
        <w:tc>
          <w:tcPr>
            <w:tcW w:type="dxa" w:w="113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NC-2025-02</w:t>
            </w:r>
          </w:p>
        </w:tc>
        <w:tc>
          <w:tcPr>
            <w:tcW w:type="dxa" w:w="2268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[Description]</w:t>
            </w:r>
          </w:p>
        </w:tc>
        <w:tc>
          <w:tcPr>
            <w:tcW w:type="dxa" w:w="170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Audit externe surveillance</w:t>
            </w:r>
          </w:p>
        </w:tc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[Statut]</w:t>
            </w:r>
          </w:p>
        </w:tc>
        <w:tc>
          <w:tcPr>
            <w:tcW w:type="dxa" w:w="198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[Actions]</w:t>
            </w:r>
          </w:p>
        </w:tc>
      </w:tr>
      <w:tr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NC-2025-03</w:t>
            </w:r>
          </w:p>
        </w:tc>
        <w:tc>
          <w:tcPr>
            <w:tcW w:type="dxa" w:w="2268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[Description]</w:t>
            </w:r>
          </w:p>
        </w:tc>
        <w:tc>
          <w:tcPr>
            <w:tcW w:type="dxa" w:w="170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Constat opérationnel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[Statut]</w:t>
            </w:r>
          </w:p>
        </w:tc>
        <w:tc>
          <w:tcPr>
            <w:tcW w:type="dxa" w:w="198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[Actions]</w:t>
            </w:r>
          </w:p>
        </w:tc>
      </w:tr>
    </w:tbl>
    <w:p>
      <w:pPr>
        <w:keepNext/>
        <w:spacing w:before="280" w:after="120"/>
      </w:pPr>
      <w:r>
        <w:rPr>
          <w:b/>
          <w:color w:val="1F3A5F"/>
          <w:sz w:val="26"/>
        </w:rPr>
        <w:t>4.6  Résultats d'évaluation des risques et plan de traitement</w:t>
      </w:r>
    </w:p>
    <w:p>
      <w:pPr>
        <w:pStyle w:val="ListBullet"/>
        <w:ind w:left="283"/>
      </w:pPr>
      <w:r/>
      <w:r>
        <w:rPr>
          <w:sz w:val="22"/>
        </w:rPr>
        <w:t>Évolution du registre des risques (nouveaux risques, risques modifiés, risques fermés)</w:t>
      </w:r>
    </w:p>
    <w:p>
      <w:pPr>
        <w:pStyle w:val="ListBullet"/>
        <w:ind w:left="283"/>
      </w:pPr>
      <w:r/>
      <w:r>
        <w:rPr>
          <w:sz w:val="22"/>
        </w:rPr>
        <w:t>Avancement du plan de traitement des risques (RTP)</w:t>
      </w:r>
    </w:p>
    <w:p>
      <w:pPr>
        <w:pStyle w:val="ListBullet"/>
        <w:ind w:left="283"/>
      </w:pPr>
      <w:r/>
      <w:r>
        <w:rPr>
          <w:sz w:val="22"/>
        </w:rPr>
        <w:t>Risques résiduels et acceptation</w:t>
      </w:r>
    </w:p>
    <w:p>
      <w:pPr>
        <w:pStyle w:val="ListBullet"/>
        <w:ind w:left="283"/>
      </w:pPr>
      <w:r/>
      <w:r>
        <w:rPr>
          <w:sz w:val="22"/>
        </w:rPr>
        <w:t>Évolution de la Déclaration d'Applicabilité (SoA)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4.7  Opportunités d'amélioration continue</w:t>
      </w:r>
    </w:p>
    <w:p>
      <w:pPr>
        <w:pStyle w:val="ListBullet"/>
        <w:ind w:left="283"/>
      </w:pPr>
      <w:r/>
      <w:r>
        <w:rPr>
          <w:sz w:val="22"/>
        </w:rPr>
        <w:t>Propositions d'amélioration issues des collaborateurs et auditeurs</w:t>
      </w:r>
    </w:p>
    <w:p>
      <w:pPr>
        <w:pStyle w:val="ListBullet"/>
        <w:ind w:left="283"/>
      </w:pPr>
      <w:r/>
      <w:r>
        <w:rPr>
          <w:sz w:val="22"/>
        </w:rPr>
        <w:t>Bonnes pratiques benchmarkées (référentiels, secteur)</w:t>
      </w:r>
    </w:p>
    <w:p>
      <w:pPr>
        <w:pStyle w:val="ListBullet"/>
        <w:ind w:left="283"/>
      </w:pPr>
      <w:r/>
      <w:r>
        <w:rPr>
          <w:sz w:val="22"/>
        </w:rPr>
        <w:t>Évolutions technologiques pertinentes (Zero Trust, IA défensive, DevSecOps)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4.8  Retours d'autres parties intéressées</w:t>
      </w:r>
    </w:p>
    <w:p>
      <w:pPr>
        <w:pStyle w:val="ListBullet"/>
        <w:ind w:left="283"/>
      </w:pPr>
      <w:r/>
      <w:r>
        <w:rPr>
          <w:sz w:val="22"/>
        </w:rPr>
        <w:t>Plaintes clients en lien avec la sécurité</w:t>
      </w:r>
    </w:p>
    <w:p>
      <w:pPr>
        <w:pStyle w:val="ListBullet"/>
        <w:ind w:left="283"/>
      </w:pPr>
      <w:r/>
      <w:r>
        <w:rPr>
          <w:sz w:val="22"/>
        </w:rPr>
        <w:t>Demandes CNIL, ANSSI, régulateurs sectoriels</w:t>
      </w:r>
    </w:p>
    <w:p>
      <w:pPr>
        <w:pStyle w:val="ListBullet"/>
        <w:ind w:left="283"/>
      </w:pPr>
      <w:r/>
      <w:r>
        <w:rPr>
          <w:sz w:val="22"/>
        </w:rPr>
        <w:t>Retours assureurs cyber</w:t>
      </w:r>
    </w:p>
    <w:p>
      <w:pPr>
        <w:pStyle w:val="ListBullet"/>
        <w:ind w:left="283"/>
      </w:pPr>
      <w:r/>
      <w:r>
        <w:rPr>
          <w:sz w:val="22"/>
        </w:rPr>
        <w:t>Retours CSE / représentants du personnel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5  Décisions (outputs — clause 9.3.3)</w:t>
      </w:r>
    </w:p>
    <w:p>
      <w:pPr>
        <w:jc w:val="both"/>
      </w:pPr>
      <w:r>
        <w:rPr>
          <w:b w:val="0"/>
          <w:i w:val="0"/>
          <w:sz w:val="22"/>
        </w:rPr>
        <w:t>La revue de direction doit conduire à des décisions documentées portant sur :</w:t>
      </w:r>
    </w:p>
    <w:p>
      <w:pPr>
        <w:pStyle w:val="ListBullet"/>
        <w:ind w:left="283"/>
      </w:pPr>
      <w:r/>
      <w:r>
        <w:rPr>
          <w:sz w:val="22"/>
        </w:rPr>
        <w:t>Opportunités d'amélioration continue retenues</w:t>
      </w:r>
    </w:p>
    <w:p>
      <w:pPr>
        <w:pStyle w:val="ListBullet"/>
        <w:ind w:left="283"/>
      </w:pPr>
      <w:r/>
      <w:r>
        <w:rPr>
          <w:sz w:val="22"/>
        </w:rPr>
        <w:t>Modifications à apporter au SMSI (politique, périmètre, processus)</w:t>
      </w:r>
    </w:p>
    <w:p>
      <w:pPr>
        <w:pStyle w:val="ListBullet"/>
        <w:ind w:left="283"/>
      </w:pPr>
      <w:r/>
      <w:r>
        <w:rPr>
          <w:sz w:val="22"/>
        </w:rPr>
        <w:t>Allocation des ressources nécessaires (humaines, financières, techniques)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6  Procès-verbal type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6.1  Informations générales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835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Élément</w:t>
            </w:r>
          </w:p>
        </w:tc>
        <w:tc>
          <w:tcPr>
            <w:tcW w:type="dxa" w:w="5669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Valeur</w:t>
            </w:r>
          </w:p>
        </w:tc>
      </w:tr>
      <w:tr>
        <w:tc>
          <w:tcPr>
            <w:tcW w:type="dxa" w:w="283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Date de la revue</w:t>
            </w:r>
          </w:p>
        </w:tc>
        <w:tc>
          <w:tcPr>
            <w:tcW w:type="dxa" w:w="5669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________________________</w:t>
            </w:r>
          </w:p>
        </w:tc>
      </w:tr>
      <w:tr>
        <w:tc>
          <w:tcPr>
            <w:tcW w:type="dxa" w:w="2835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Lieu / format</w:t>
            </w:r>
          </w:p>
        </w:tc>
        <w:tc>
          <w:tcPr>
            <w:tcW w:type="dxa" w:w="5669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________________________</w:t>
            </w:r>
          </w:p>
        </w:tc>
      </w:tr>
      <w:tr>
        <w:tc>
          <w:tcPr>
            <w:tcW w:type="dxa" w:w="283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Référence du PV</w:t>
            </w:r>
          </w:p>
        </w:tc>
        <w:tc>
          <w:tcPr>
            <w:tcW w:type="dxa" w:w="5669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PV-RDD-AAAA-MM</w:t>
            </w:r>
          </w:p>
        </w:tc>
      </w:tr>
      <w:tr>
        <w:tc>
          <w:tcPr>
            <w:tcW w:type="dxa" w:w="2835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Période couverte</w:t>
            </w:r>
          </w:p>
        </w:tc>
        <w:tc>
          <w:tcPr>
            <w:tcW w:type="dxa" w:w="5669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________________________</w:t>
            </w:r>
          </w:p>
        </w:tc>
      </w:tr>
    </w:tbl>
    <w:p>
      <w:pPr>
        <w:keepNext/>
        <w:spacing w:before="280" w:after="120"/>
      </w:pPr>
      <w:r>
        <w:rPr>
          <w:b/>
          <w:color w:val="1F3A5F"/>
          <w:sz w:val="26"/>
        </w:rPr>
        <w:t>6.2  Participants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835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Nom</w:t>
            </w:r>
          </w:p>
        </w:tc>
        <w:tc>
          <w:tcPr>
            <w:tcW w:type="dxa" w:w="2835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Fonction</w:t>
            </w:r>
          </w:p>
        </w:tc>
        <w:tc>
          <w:tcPr>
            <w:tcW w:type="dxa" w:w="1417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Présent</w:t>
            </w:r>
          </w:p>
        </w:tc>
        <w:tc>
          <w:tcPr>
            <w:tcW w:type="dxa" w:w="1417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Excusé</w:t>
            </w:r>
          </w:p>
        </w:tc>
      </w:tr>
      <w:tr>
        <w:tc>
          <w:tcPr>
            <w:tcW w:type="dxa" w:w="283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[Nom]</w:t>
            </w:r>
          </w:p>
        </w:tc>
        <w:tc>
          <w:tcPr>
            <w:tcW w:type="dxa" w:w="283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Directeur Général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☐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☐</w:t>
            </w:r>
          </w:p>
        </w:tc>
      </w:tr>
      <w:tr>
        <w:tc>
          <w:tcPr>
            <w:tcW w:type="dxa" w:w="2835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[Nom]</w:t>
            </w:r>
          </w:p>
        </w:tc>
        <w:tc>
          <w:tcPr>
            <w:tcW w:type="dxa" w:w="2835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RSSI</w:t>
            </w:r>
          </w:p>
        </w:tc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☐</w:t>
            </w:r>
          </w:p>
        </w:tc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☐</w:t>
            </w:r>
          </w:p>
        </w:tc>
      </w:tr>
      <w:tr>
        <w:tc>
          <w:tcPr>
            <w:tcW w:type="dxa" w:w="283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[Nom]</w:t>
            </w:r>
          </w:p>
        </w:tc>
        <w:tc>
          <w:tcPr>
            <w:tcW w:type="dxa" w:w="283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DSI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☐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☐</w:t>
            </w:r>
          </w:p>
        </w:tc>
      </w:tr>
      <w:tr>
        <w:tc>
          <w:tcPr>
            <w:tcW w:type="dxa" w:w="2835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[Nom]</w:t>
            </w:r>
          </w:p>
        </w:tc>
        <w:tc>
          <w:tcPr>
            <w:tcW w:type="dxa" w:w="2835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DPO</w:t>
            </w:r>
          </w:p>
        </w:tc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☐</w:t>
            </w:r>
          </w:p>
        </w:tc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☐</w:t>
            </w:r>
          </w:p>
        </w:tc>
      </w:tr>
      <w:tr>
        <w:tc>
          <w:tcPr>
            <w:tcW w:type="dxa" w:w="283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[Nom]</w:t>
            </w:r>
          </w:p>
        </w:tc>
        <w:tc>
          <w:tcPr>
            <w:tcW w:type="dxa" w:w="283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Directeur Juridique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☐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☐</w:t>
            </w:r>
          </w:p>
        </w:tc>
      </w:tr>
      <w:tr>
        <w:tc>
          <w:tcPr>
            <w:tcW w:type="dxa" w:w="2835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[Nom]</w:t>
            </w:r>
          </w:p>
        </w:tc>
        <w:tc>
          <w:tcPr>
            <w:tcW w:type="dxa" w:w="2835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DRH</w:t>
            </w:r>
          </w:p>
        </w:tc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☐</w:t>
            </w:r>
          </w:p>
        </w:tc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☐</w:t>
            </w:r>
          </w:p>
        </w:tc>
      </w:tr>
    </w:tbl>
    <w:p>
      <w:pPr>
        <w:keepNext/>
        <w:spacing w:before="280" w:after="120"/>
      </w:pPr>
      <w:r>
        <w:rPr>
          <w:b/>
          <w:color w:val="1F3A5F"/>
          <w:sz w:val="26"/>
        </w:rPr>
        <w:t>6.3  Synthèse des échanges et décisions</w:t>
      </w:r>
    </w:p>
    <w:p>
      <w:pPr>
        <w:jc w:val="both"/>
      </w:pPr>
      <w:r>
        <w:rPr>
          <w:b w:val="0"/>
          <w:i w:val="0"/>
          <w:sz w:val="22"/>
        </w:rPr>
        <w:t>[Saisir une synthèse des principaux échanges, points d'attention soulevés et décisions prises pour chacun des 8 inputs ci-dessus. Le PV est signé par le président de séance et le pilote SMSI, puis diffusé aux participants et conservé au minimum 5 ans.]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7  Plan d'actions consolidé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134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N° action</w:t>
            </w:r>
          </w:p>
        </w:tc>
        <w:tc>
          <w:tcPr>
            <w:tcW w:type="dxa" w:w="2551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Décision</w:t>
            </w:r>
          </w:p>
        </w:tc>
        <w:tc>
          <w:tcPr>
            <w:tcW w:type="dxa" w:w="1134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1134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Échéance</w:t>
            </w:r>
          </w:p>
        </w:tc>
        <w:tc>
          <w:tcPr>
            <w:tcW w:type="dxa" w:w="1417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Budget alloué</w:t>
            </w:r>
          </w:p>
        </w:tc>
        <w:tc>
          <w:tcPr>
            <w:tcW w:type="dxa" w:w="1134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Priorité</w:t>
            </w:r>
          </w:p>
        </w:tc>
      </w:tr>
      <w:tr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A-2026-01</w:t>
            </w:r>
          </w:p>
        </w:tc>
        <w:tc>
          <w:tcPr>
            <w:tcW w:type="dxa" w:w="255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[Description]</w:t>
            </w:r>
          </w:p>
        </w:tc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[Nom]</w:t>
            </w:r>
          </w:p>
        </w:tc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[Date]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[€]</w:t>
            </w:r>
          </w:p>
        </w:tc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Haute</w:t>
            </w:r>
          </w:p>
        </w:tc>
      </w:tr>
      <w:tr>
        <w:tc>
          <w:tcPr>
            <w:tcW w:type="dxa" w:w="113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A-2026-02</w:t>
            </w:r>
          </w:p>
        </w:tc>
        <w:tc>
          <w:tcPr>
            <w:tcW w:type="dxa" w:w="255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[Description]</w:t>
            </w:r>
          </w:p>
        </w:tc>
        <w:tc>
          <w:tcPr>
            <w:tcW w:type="dxa" w:w="113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[Nom]</w:t>
            </w:r>
          </w:p>
        </w:tc>
        <w:tc>
          <w:tcPr>
            <w:tcW w:type="dxa" w:w="113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[Date]</w:t>
            </w:r>
          </w:p>
        </w:tc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[€]</w:t>
            </w:r>
          </w:p>
        </w:tc>
        <w:tc>
          <w:tcPr>
            <w:tcW w:type="dxa" w:w="113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Moyenne</w:t>
            </w:r>
          </w:p>
        </w:tc>
      </w:tr>
      <w:tr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A-2026-03</w:t>
            </w:r>
          </w:p>
        </w:tc>
        <w:tc>
          <w:tcPr>
            <w:tcW w:type="dxa" w:w="255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[Description]</w:t>
            </w:r>
          </w:p>
        </w:tc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[Nom]</w:t>
            </w:r>
          </w:p>
        </w:tc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[Date]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[€]</w:t>
            </w:r>
          </w:p>
        </w:tc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Haute</w:t>
            </w:r>
          </w:p>
        </w:tc>
      </w:tr>
      <w:tr>
        <w:tc>
          <w:tcPr>
            <w:tcW w:type="dxa" w:w="113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A-2026-04</w:t>
            </w:r>
          </w:p>
        </w:tc>
        <w:tc>
          <w:tcPr>
            <w:tcW w:type="dxa" w:w="255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[Description]</w:t>
            </w:r>
          </w:p>
        </w:tc>
        <w:tc>
          <w:tcPr>
            <w:tcW w:type="dxa" w:w="113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[Nom]</w:t>
            </w:r>
          </w:p>
        </w:tc>
        <w:tc>
          <w:tcPr>
            <w:tcW w:type="dxa" w:w="113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[Date]</w:t>
            </w:r>
          </w:p>
        </w:tc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[€]</w:t>
            </w:r>
          </w:p>
        </w:tc>
        <w:tc>
          <w:tcPr>
            <w:tcW w:type="dxa" w:w="113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Basse</w:t>
            </w:r>
          </w:p>
        </w:tc>
      </w:tr>
    </w:tbl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8  Validation et signatures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—  Signatures et approbation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fill="1F3A5F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Rédigé par</w:t>
            </w:r>
          </w:p>
        </w:tc>
        <w:tc>
          <w:tcPr>
            <w:tcW w:type="dxa" w:w="3324"/>
            <w:shd w:fill="1F3A5F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Vérifié par</w:t>
            </w:r>
          </w:p>
        </w:tc>
        <w:tc>
          <w:tcPr>
            <w:tcW w:type="dxa" w:w="3324"/>
            <w:shd w:fill="1F3A5F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Approuvé par</w:t>
            </w:r>
          </w:p>
        </w:tc>
      </w:tr>
      <w:tr>
        <w:tc>
          <w:tcPr>
            <w:tcW w:type="dxa" w:w="332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RSSI / Pilote SMSI</w:t>
              <w:br/>
              <w:t>Nom : ____________________</w:t>
              <w:br/>
              <w:t>Date : ____________________</w:t>
              <w:br/>
              <w:t>Signature :</w:t>
            </w:r>
          </w:p>
        </w:tc>
        <w:tc>
          <w:tcPr>
            <w:tcW w:type="dxa" w:w="332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Comité sécurité</w:t>
              <w:br/>
              <w:t>Nom : ____________________</w:t>
              <w:br/>
              <w:t>Date : ____________________</w:t>
              <w:br/>
              <w:t>Signature :</w:t>
            </w:r>
          </w:p>
        </w:tc>
        <w:tc>
          <w:tcPr>
            <w:tcW w:type="dxa" w:w="332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Direction générale</w:t>
              <w:br/>
              <w:t>Nom : ____________________</w:t>
              <w:br/>
              <w:t>Date : ____________________</w:t>
              <w:br/>
              <w:t>Signature :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247" w:right="1134" w:bottom="124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55555"/>
        <w:sz w:val="18"/>
      </w:rPr>
      <w:t xml:space="preserve">Revue de direction du SMSI — ISO/IEC 27001:2022  |  Page </w:t>
    </w:r>
    <w:r>
      <w:fldChar w:fldCharType="begin"/>
      <w:instrText>PAGE</w:instrText>
      <w:fldChar w:fldCharType="end"/>
    </w:r>
    <w:r>
      <w:rPr>
        <w:color w:val="555555"/>
        <w:sz w:val="18"/>
      </w:rPr>
      <w:t xml:space="preserve"> / </w:t>
    </w:r>
    <w:r>
      <w:fldChar w:fldCharType="begin"/>
      <w:instrText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/>
    <w:r>
      <w:rPr>
        <w:b/>
        <w:color w:val="1F3A5F"/>
        <w:sz w:val="18"/>
      </w:rPr>
      <w:t>ayinedjimi-consultants.fr</w:t>
    </w:r>
    <w:r>
      <w:rPr>
        <w:i/>
        <w:color w:val="555555"/>
        <w:sz w:val="18"/>
      </w:rPr>
      <w:t xml:space="preserve">  |  ISO/IEC 27001:2022 — Template Gratuit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