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0"/>
        <w:jc w:val="center"/>
      </w:pPr>
      <w:r>
        <w:rPr>
          <w:b/>
          <w:color w:val="1F4E79"/>
          <w:sz w:val="22"/>
        </w:rPr>
        <w:t>ISO/IEC 27001:2022 — TEMPLATE GRATUIT</w:t>
      </w:r>
    </w:p>
    <w:p>
      <w:pPr>
        <w:spacing w:before="400"/>
        <w:jc w:val="center"/>
      </w:pPr>
      <w:r>
        <w:rPr>
          <w:b/>
          <w:color w:val="0B2545"/>
          <w:sz w:val="52"/>
        </w:rPr>
        <w:t>Rapport d'audit interne SMSI</w:t>
      </w:r>
    </w:p>
    <w:p>
      <w:pPr>
        <w:jc w:val="center"/>
      </w:pPr>
      <w:r>
        <w:rPr>
          <w:i/>
          <w:color w:val="595959"/>
          <w:sz w:val="26"/>
        </w:rPr>
        <w:t>Modèle ISO/IEC 27001:2022 — Clause 9.2 / ISO/IEC 19011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Référence</w:t>
            </w:r>
          </w:p>
        </w:tc>
        <w:tc>
          <w:tcPr>
            <w:tcW w:type="dxa" w:w="3969"/>
          </w:tcPr>
          <w:p>
            <w:r>
              <w:t>TPL-ISO27001-XXXX-v1.0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3969"/>
          </w:tcPr>
          <w:p>
            <w:r>
              <w:t>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Date d'émission</w:t>
            </w:r>
          </w:p>
        </w:tc>
        <w:tc>
          <w:tcPr>
            <w:tcW w:type="dxa" w:w="3969"/>
          </w:tcPr>
          <w:p>
            <w:r>
              <w:t>—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Approuvé par</w:t>
            </w:r>
          </w:p>
        </w:tc>
        <w:tc>
          <w:tcPr>
            <w:tcW w:type="dxa" w:w="3969"/>
          </w:tcPr>
          <w:p>
            <w:r>
              <w:t>Direction Générale / RSSI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Classification</w:t>
            </w:r>
          </w:p>
        </w:tc>
        <w:tc>
          <w:tcPr>
            <w:tcW w:type="dxa" w:w="3969"/>
          </w:tcPr>
          <w:p>
            <w:r>
              <w:t>Interne</w:t>
            </w:r>
          </w:p>
        </w:tc>
      </w:tr>
    </w:tbl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Sommaire</w:t>
      </w:r>
    </w:p>
    <w:p>
      <w:pPr>
        <w:spacing w:after="60"/>
      </w:pPr>
      <w:r>
        <w:rPr>
          <w:sz w:val="22"/>
        </w:rPr>
        <w:t>1. Sommaire exécutif</w:t>
      </w:r>
    </w:p>
    <w:p>
      <w:pPr>
        <w:spacing w:after="60"/>
      </w:pPr>
      <w:r>
        <w:rPr>
          <w:sz w:val="22"/>
        </w:rPr>
        <w:t>2. Identification de l'audit</w:t>
      </w:r>
    </w:p>
    <w:p>
      <w:pPr>
        <w:spacing w:after="60"/>
      </w:pPr>
      <w:r>
        <w:rPr>
          <w:sz w:val="22"/>
        </w:rPr>
        <w:t>3. Périmètre et objectifs</w:t>
      </w:r>
    </w:p>
    <w:p>
      <w:pPr>
        <w:spacing w:after="60"/>
      </w:pPr>
      <w:r>
        <w:rPr>
          <w:sz w:val="22"/>
        </w:rPr>
        <w:t>4. Méthodologie</w:t>
      </w:r>
    </w:p>
    <w:p>
      <w:pPr>
        <w:spacing w:after="60"/>
      </w:pPr>
      <w:r>
        <w:rPr>
          <w:sz w:val="22"/>
        </w:rPr>
        <w:t>5. Équipe d'audit</w:t>
      </w:r>
    </w:p>
    <w:p>
      <w:pPr>
        <w:spacing w:after="60"/>
      </w:pPr>
      <w:r>
        <w:rPr>
          <w:sz w:val="22"/>
        </w:rPr>
        <w:t>6. Constatations par clause</w:t>
      </w:r>
    </w:p>
    <w:p>
      <w:pPr>
        <w:spacing w:after="60"/>
      </w:pPr>
      <w:r>
        <w:rPr>
          <w:sz w:val="22"/>
        </w:rPr>
        <w:t>7. Synthèse des écarts</w:t>
      </w:r>
    </w:p>
    <w:p>
      <w:pPr>
        <w:spacing w:after="60"/>
      </w:pPr>
      <w:r>
        <w:rPr>
          <w:sz w:val="22"/>
        </w:rPr>
        <w:t>8. Plan d'action proposé</w:t>
      </w:r>
    </w:p>
    <w:p>
      <w:pPr>
        <w:spacing w:after="60"/>
      </w:pPr>
      <w:r>
        <w:rPr>
          <w:sz w:val="22"/>
        </w:rPr>
        <w:t>9. Conclusion de l'auditeur</w:t>
      </w:r>
    </w:p>
    <w:p>
      <w:pPr>
        <w:spacing w:after="60"/>
      </w:pPr>
      <w:r>
        <w:rPr>
          <w:sz w:val="22"/>
        </w:rPr>
        <w:t>10. Annexes</w:t>
      </w:r>
    </w:p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1. Sommaire exécutif</w:t>
      </w:r>
    </w:p>
    <w:p>
      <w:pPr>
        <w:spacing w:line="312" w:lineRule="auto"/>
        <w:jc w:val="both"/>
      </w:pPr>
      <w:r>
        <w:t>Le présent rapport présente les conclusions de l'audit interne du Système de Management de la Sécurité de l'Information (SMSI), réalisé conformément à la clause 9.2 de la norme ISO/IEC 27001:2022 et selon les principes de la norme ISO/IEC 19011 « Lignes directrices pour l'audit des systèmes de management ».</w:t>
      </w:r>
    </w:p>
    <w:p>
      <w:pPr>
        <w:spacing w:line="312" w:lineRule="auto"/>
        <w:jc w:val="both"/>
      </w:pPr>
      <w:r>
        <w:t>L'audit a couvert [périmètre] sur la période [date début] - [date fin] et a permis d'évaluer la conformité du SMSI aux exigences normatives, son efficacité et son adéquation aux orientations stratégiques de l'organisation.</w:t>
      </w:r>
    </w:p>
    <w:p>
      <w:pPr>
        <w:spacing w:line="312" w:lineRule="auto"/>
        <w:jc w:val="both"/>
      </w:pPr>
      <w:r>
        <w:t>Le SMSI est globalement [conforme / partiellement conforme / non conforme] aux exigences de la norme. L'audit a relevé [X] non-conformité(s) majeure(s), [Y] non-conformité(s) mineure(s) et [Z] observation(s).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2. Identification de l'audit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Champ</w:t>
            </w:r>
          </w:p>
        </w:tc>
        <w:tc>
          <w:tcPr>
            <w:tcW w:type="dxa" w:w="4873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Valeur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Référence audit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AI-AAAA-NNN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Type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Audit interne — ISO/IEC 27001:2022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Période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JJ/MM/AAAA au JJ/MM/AAAA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Site(s)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Auditeur lead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Date d'émission du rapport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Version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Diffusion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Direction Générale / RSSI / Responsable SMSI / Auditée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3. Périmètre et objectifs</w:t>
      </w:r>
    </w:p>
    <w:p>
      <w:pPr>
        <w:spacing w:before="240" w:after="80"/>
      </w:pPr>
      <w:r>
        <w:rPr>
          <w:b/>
          <w:color w:val="1F4E79"/>
          <w:sz w:val="26"/>
        </w:rPr>
        <w:t>3.1 Périmètre</w:t>
      </w:r>
    </w:p>
    <w:p>
      <w:pPr>
        <w:spacing w:line="312" w:lineRule="auto"/>
        <w:jc w:val="both"/>
      </w:pPr>
      <w:r>
        <w:t>L'audit a porté sur les éléments suivants du SMSI :</w:t>
      </w:r>
    </w:p>
    <w:p>
      <w:pPr>
        <w:pStyle w:val="ListBullet"/>
        <w:spacing w:after="40"/>
      </w:pPr>
      <w:r>
        <w:t>[Clauses 4 à 10 — Système de management]</w:t>
      </w:r>
    </w:p>
    <w:p>
      <w:pPr>
        <w:pStyle w:val="ListBullet"/>
        <w:spacing w:after="40"/>
      </w:pPr>
      <w:r>
        <w:t>[Contrôles Annexe A 5.X à 5.Y]</w:t>
      </w:r>
    </w:p>
    <w:p>
      <w:pPr>
        <w:pStyle w:val="ListBullet"/>
        <w:spacing w:after="40"/>
      </w:pPr>
      <w:r>
        <w:t>[Processus métier concernés]</w:t>
      </w:r>
    </w:p>
    <w:p>
      <w:pPr>
        <w:pStyle w:val="ListBullet"/>
        <w:spacing w:after="40"/>
      </w:pPr>
      <w:r>
        <w:t>[Sites géographiques]</w:t>
      </w:r>
    </w:p>
    <w:p>
      <w:pPr>
        <w:spacing w:before="240" w:after="80"/>
      </w:pPr>
      <w:r>
        <w:rPr>
          <w:b/>
          <w:color w:val="1F4E79"/>
          <w:sz w:val="26"/>
        </w:rPr>
        <w:t>3.2 Objectifs</w:t>
      </w:r>
    </w:p>
    <w:p>
      <w:pPr>
        <w:pStyle w:val="ListBullet"/>
        <w:spacing w:after="40"/>
      </w:pPr>
      <w:r>
        <w:t>Évaluer la conformité du SMSI aux exigences d'ISO/IEC 27001:2022.</w:t>
      </w:r>
    </w:p>
    <w:p>
      <w:pPr>
        <w:pStyle w:val="ListBullet"/>
        <w:spacing w:after="40"/>
      </w:pPr>
      <w:r>
        <w:t>Vérifier la mise en œuvre effective et l'efficacité des contrôles de sécurité.</w:t>
      </w:r>
    </w:p>
    <w:p>
      <w:pPr>
        <w:pStyle w:val="ListBullet"/>
        <w:spacing w:after="40"/>
      </w:pPr>
      <w:r>
        <w:t>Identifier les opportunités d'amélioration.</w:t>
      </w:r>
    </w:p>
    <w:p>
      <w:pPr>
        <w:pStyle w:val="ListBullet"/>
        <w:spacing w:after="40"/>
      </w:pPr>
      <w:r>
        <w:t>Préparer l'audit de certification / surveillance prévu en [mois/année].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4. Méthodologie</w:t>
      </w:r>
    </w:p>
    <w:p>
      <w:pPr>
        <w:spacing w:line="312" w:lineRule="auto"/>
        <w:jc w:val="both"/>
      </w:pPr>
      <w:r>
        <w:t>L'audit a été réalisé selon les principes de l'ISO/IEC 19011 et a comporté les activités suivantes :</w:t>
      </w:r>
    </w:p>
    <w:p>
      <w:pPr>
        <w:pStyle w:val="ListBullet"/>
        <w:spacing w:after="40"/>
      </w:pPr>
      <w:r>
        <w:t>Revue documentaire (politiques, procédures, registres, preuves).</w:t>
      </w:r>
    </w:p>
    <w:p>
      <w:pPr>
        <w:pStyle w:val="ListBullet"/>
        <w:spacing w:after="40"/>
      </w:pPr>
      <w:r>
        <w:t>Entretiens individuels et collectifs avec les acteurs clés.</w:t>
      </w:r>
    </w:p>
    <w:p>
      <w:pPr>
        <w:pStyle w:val="ListBullet"/>
        <w:spacing w:after="40"/>
      </w:pPr>
      <w:r>
        <w:t>Observations sur site (revues physiques, démonstrations techniques).</w:t>
      </w:r>
    </w:p>
    <w:p>
      <w:pPr>
        <w:pStyle w:val="ListBullet"/>
        <w:spacing w:after="40"/>
      </w:pPr>
      <w:r>
        <w:t>Échantillonnage statistique sur les enregistrements (taille de l'échantillon : √N + 1).</w:t>
      </w:r>
    </w:p>
    <w:p>
      <w:pPr>
        <w:pStyle w:val="ListBullet"/>
        <w:spacing w:after="40"/>
      </w:pPr>
      <w:r>
        <w:t>Tests techniques de vérification (configurations, journaux).</w:t>
      </w:r>
    </w:p>
    <w:p>
      <w:pPr>
        <w:pStyle w:val="ListBullet"/>
        <w:spacing w:after="40"/>
      </w:pPr>
      <w:r>
        <w:t>Restitution intermédiaire en réunion de clôture.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5. Équipe d'audit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Nom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Rôle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Qualification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[Lead auditor]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Auditeur lead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ISO 27001 Lead Auditor (IRCA) — n° certif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[Auditeur 2]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Auditeur technique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CISSP, CISA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[Auditeur 3]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Auditeur observateur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—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6. Constatations par clause</w:t>
      </w:r>
    </w:p>
    <w:p>
      <w:pPr>
        <w:spacing w:before="240" w:after="80"/>
      </w:pPr>
      <w:r>
        <w:rPr>
          <w:b/>
          <w:color w:val="1F4E79"/>
          <w:sz w:val="26"/>
        </w:rPr>
        <w:t>6.1 Clause 4 — Contexte de l'organisation</w:t>
      </w:r>
    </w:p>
    <w:p>
      <w:pPr>
        <w:spacing w:line="312" w:lineRule="auto"/>
        <w:jc w:val="both"/>
      </w:pPr>
      <w:r>
        <w:t>L'organisation a documenté son contexte interne et externe (analyse PESTEL, SWOT, parties intéressées) avec un dernier examen daté du JJ/MM/AAAA. Constatation : [conforme / écart].</w:t>
      </w:r>
    </w:p>
    <w:p>
      <w:pPr>
        <w:spacing w:before="240" w:after="80"/>
      </w:pPr>
      <w:r>
        <w:rPr>
          <w:b/>
          <w:color w:val="1F4E79"/>
          <w:sz w:val="26"/>
        </w:rPr>
        <w:t>6.2 Clause 5 — Leadership</w:t>
      </w:r>
    </w:p>
    <w:p>
      <w:pPr>
        <w:spacing w:line="312" w:lineRule="auto"/>
        <w:jc w:val="both"/>
      </w:pPr>
      <w:r>
        <w:t>La direction a manifesté son engagement par la nomination d'un RSSI rattaché à la DG (organigramme à jour), la publication d'une politique signée et la mise à disposition des ressources. Constatation : [conforme].</w:t>
      </w:r>
    </w:p>
    <w:p>
      <w:pPr>
        <w:spacing w:before="240" w:after="80"/>
      </w:pPr>
      <w:r>
        <w:rPr>
          <w:b/>
          <w:color w:val="1F4E79"/>
          <w:sz w:val="26"/>
        </w:rPr>
        <w:t>6.3 Clause 6 — Planification</w:t>
      </w:r>
    </w:p>
    <w:p>
      <w:pPr>
        <w:spacing w:line="312" w:lineRule="auto"/>
        <w:jc w:val="both"/>
      </w:pPr>
      <w:r>
        <w:t>L'appréciation des risques a été conduite selon la méthode EBIOS-RM avec un registre de [X] risques identifiés. Une déclaration d'applicabilité (SoA) à jour est en place. Constatation : [à compléter].</w:t>
      </w:r>
    </w:p>
    <w:p>
      <w:pPr>
        <w:spacing w:before="240" w:after="80"/>
      </w:pPr>
      <w:r>
        <w:rPr>
          <w:b/>
          <w:color w:val="1F4E79"/>
          <w:sz w:val="26"/>
        </w:rPr>
        <w:t>6.4 Clause 7 — Support</w:t>
      </w:r>
    </w:p>
    <w:p>
      <w:pPr>
        <w:spacing w:line="312" w:lineRule="auto"/>
        <w:jc w:val="both"/>
      </w:pPr>
      <w:r>
        <w:t>Les ressources, compétences, sensibilisation, communication et documentation ont été examinées. Constatation : [à compléter].</w:t>
      </w:r>
    </w:p>
    <w:p>
      <w:pPr>
        <w:spacing w:before="240" w:after="80"/>
      </w:pPr>
      <w:r>
        <w:rPr>
          <w:b/>
          <w:color w:val="1F4E79"/>
          <w:sz w:val="26"/>
        </w:rPr>
        <w:t>6.5 Clause 8 — Fonctionnement</w:t>
      </w:r>
    </w:p>
    <w:p>
      <w:pPr>
        <w:spacing w:line="312" w:lineRule="auto"/>
        <w:jc w:val="both"/>
      </w:pPr>
      <w:r>
        <w:t>Les processus opérationnels et leur maîtrise ont été observés sur un échantillon de [X] processus. Constatation : [à compléter].</w:t>
      </w:r>
    </w:p>
    <w:p>
      <w:pPr>
        <w:spacing w:before="240" w:after="80"/>
      </w:pPr>
      <w:r>
        <w:rPr>
          <w:b/>
          <w:color w:val="1F4E79"/>
          <w:sz w:val="26"/>
        </w:rPr>
        <w:t>6.6 Clause 9 — Évaluation des performances</w:t>
      </w:r>
    </w:p>
    <w:p>
      <w:pPr>
        <w:spacing w:line="312" w:lineRule="auto"/>
        <w:jc w:val="both"/>
      </w:pPr>
      <w:r>
        <w:t>Le tableau de bord ISO 27004 a été examiné sur 4 trimestres. La revue de direction a été tenue le JJ/MM/AAAA avec un PV diffusé. Constatation : [à compléter].</w:t>
      </w:r>
    </w:p>
    <w:p>
      <w:pPr>
        <w:spacing w:before="240" w:after="80"/>
      </w:pPr>
      <w:r>
        <w:rPr>
          <w:b/>
          <w:color w:val="1F4E79"/>
          <w:sz w:val="26"/>
        </w:rPr>
        <w:t>6.7 Clause 10 — Amélioration</w:t>
      </w:r>
    </w:p>
    <w:p>
      <w:pPr>
        <w:spacing w:line="312" w:lineRule="auto"/>
        <w:jc w:val="both"/>
      </w:pPr>
      <w:r>
        <w:t>Le registre des non-conformités contient [X] entrées dont [Y] clôturées sur 12 mois. Constatation : [à compléter].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7. Synthèse des écarts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Réf.</w:t>
            </w:r>
          </w:p>
        </w:tc>
        <w:tc>
          <w:tcPr>
            <w:tcW w:type="dxa" w:w="19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Clause / Contrôle</w:t>
            </w:r>
          </w:p>
        </w:tc>
        <w:tc>
          <w:tcPr>
            <w:tcW w:type="dxa" w:w="19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Catégorie</w:t>
            </w:r>
          </w:p>
        </w:tc>
        <w:tc>
          <w:tcPr>
            <w:tcW w:type="dxa" w:w="19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 synthétique</w:t>
            </w:r>
          </w:p>
        </w:tc>
        <w:tc>
          <w:tcPr>
            <w:tcW w:type="dxa" w:w="19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Délai cible</w:t>
            </w:r>
          </w:p>
        </w:tc>
      </w:tr>
      <w:tr>
        <w:tc>
          <w:tcPr>
            <w:tcW w:type="dxa" w:w="1949"/>
            <w:vAlign w:val="center"/>
          </w:tcPr>
          <w:p>
            <w:r>
              <w:rPr>
                <w:sz w:val="20"/>
              </w:rPr>
              <w:t>NC-001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A.5.15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Majeure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Comptes admin sans MFA sur AD legacy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60 j</w:t>
            </w:r>
          </w:p>
        </w:tc>
      </w:tr>
      <w:tr>
        <w:tc>
          <w:tcPr>
            <w:tcW w:type="dxa" w:w="1949"/>
            <w:vAlign w:val="center"/>
          </w:tcPr>
          <w:p>
            <w:r>
              <w:rPr>
                <w:sz w:val="20"/>
              </w:rPr>
              <w:t>NC-002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Clause 9.2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Mineure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Plan d'audit incomplet sur Annexe A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90 j</w:t>
            </w:r>
          </w:p>
        </w:tc>
      </w:tr>
      <w:tr>
        <w:tc>
          <w:tcPr>
            <w:tcW w:type="dxa" w:w="1949"/>
            <w:vAlign w:val="center"/>
          </w:tcPr>
          <w:p>
            <w:r>
              <w:rPr>
                <w:sz w:val="20"/>
              </w:rPr>
              <w:t>OBS-001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A.8.16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Observation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Logs Linux non centralisés</w:t>
            </w:r>
          </w:p>
        </w:tc>
        <w:tc>
          <w:tcPr>
            <w:tcW w:type="dxa" w:w="1949"/>
            <w:vAlign w:val="center"/>
          </w:tcPr>
          <w:p>
            <w:r>
              <w:rPr>
                <w:sz w:val="20"/>
              </w:rPr>
              <w:t>180 j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8. Plan d'action proposé</w:t>
      </w:r>
    </w:p>
    <w:p>
      <w:pPr>
        <w:spacing w:line="312" w:lineRule="auto"/>
        <w:jc w:val="both"/>
      </w:pPr>
      <w:r>
        <w:t>Pour chaque écart, l'auditée propose un plan d'action documenté, comportant : la cause racine identifiée, l'action corrective, le pilote, la date cible, la mesure d'efficacité. Le plan d'action consolidé est joint en annexe (registre des non-conformités).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9. Conclusion de l'auditeur</w:t>
      </w:r>
    </w:p>
    <w:p>
      <w:pPr>
        <w:spacing w:line="312" w:lineRule="auto"/>
        <w:jc w:val="both"/>
      </w:pPr>
      <w:r>
        <w:t>Au vu des éléments examinés et des entretiens menés, l'auditeur lead estime que le SMSI de l'organisation est [conforme / partiellement conforme] aux exigences d'ISO/IEC 27001:2022. Les non-conformités identifiées ne remettent pas en cause l'efficacité globale du SMSI, sous réserve de la mise en œuvre du plan d'action proposé dans les délais.</w:t>
      </w:r>
    </w:p>
    <w:p>
      <w:pPr>
        <w:spacing w:line="312" w:lineRule="auto"/>
        <w:jc w:val="both"/>
      </w:pPr>
      <w:r>
        <w:t>L'organisation est [recommandée / non recommandée] pour [le maintien de sa certification / l'obtention de la certification / un audit de surveillance].</w:t>
      </w:r>
    </w:p>
    <w:p>
      <w:pPr>
        <w:spacing w:line="312" w:lineRule="auto"/>
        <w:jc w:val="both"/>
      </w:pPr>
      <w:r>
        <w:t>Signature de l'auditeur lead 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Nom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Signature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10. Annexes</w:t>
      </w:r>
    </w:p>
    <w:p>
      <w:pPr>
        <w:pStyle w:val="ListBullet"/>
        <w:spacing w:after="40"/>
      </w:pPr>
      <w:r>
        <w:t>A1. Programme d'audit détaillé.</w:t>
      </w:r>
    </w:p>
    <w:p>
      <w:pPr>
        <w:pStyle w:val="ListBullet"/>
        <w:spacing w:after="40"/>
      </w:pPr>
      <w:r>
        <w:t>A2. Liste des personnes rencontrées.</w:t>
      </w:r>
    </w:p>
    <w:p>
      <w:pPr>
        <w:pStyle w:val="ListBullet"/>
        <w:spacing w:after="40"/>
      </w:pPr>
      <w:r>
        <w:t>A3. Liste des documents examinés.</w:t>
      </w:r>
    </w:p>
    <w:p>
      <w:pPr>
        <w:pStyle w:val="ListBullet"/>
        <w:spacing w:after="40"/>
      </w:pPr>
      <w:r>
        <w:t>A4. Registre des non-conformités consolidé.</w:t>
      </w:r>
    </w:p>
    <w:p>
      <w:pPr>
        <w:pStyle w:val="ListBullet"/>
        <w:spacing w:after="40"/>
      </w:pPr>
      <w:r>
        <w:t>A5. Plan d'action validé par la direction.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3213"/>
        </w:tcPr>
        <w:p>
          <w:r>
            <w:rPr>
              <w:color w:val="595959"/>
              <w:sz w:val="16"/>
            </w:rPr>
            <w:t>© Ayinedjimi Consultants — ayinedjimi-consultants.fr</w:t>
          </w:r>
        </w:p>
      </w:tc>
      <w:tc>
        <w:tcPr>
          <w:tcW w:type="dxa" w:w="3213"/>
        </w:tcPr>
        <w:p>
          <w:pPr>
            <w:jc w:val="center"/>
          </w:pPr>
          <w:r>
            <w:rPr>
              <w:color w:val="595959"/>
              <w:sz w:val="16"/>
            </w:rPr>
            <w:t>Document confidentiel — Usage interne</w:t>
          </w:r>
        </w:p>
      </w:tc>
      <w:tc>
        <w:tcPr>
          <w:tcW w:type="dxa" w:w="3213"/>
        </w:tcPr>
        <w:p>
          <w:pPr>
            <w:jc w:val="right"/>
          </w:pPr>
          <w:r>
            <w:rPr>
              <w:color w:val="595959"/>
              <w:sz w:val="16"/>
            </w:rPr>
            <w:t xml:space="preserve">Page </w:t>
            <w:fldSimple w:instr="PAGE \* MERGEFORMAT">
              <w:r>
                <w:t>1</w:t>
              </w:r>
            </w:fldSimple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819"/>
        </w:tcPr>
        <w:p>
          <w:pPr>
            <w:jc w:val="left"/>
          </w:pPr>
          <w:r>
            <w:rPr>
              <w:color w:val="595959"/>
              <w:sz w:val="18"/>
            </w:rPr>
            <w:t>ayinedjimi-consultants.fr</w:t>
          </w:r>
        </w:p>
      </w:tc>
      <w:tc>
        <w:tcPr>
          <w:tcW w:type="dxa" w:w="4819"/>
        </w:tcPr>
        <w:p>
          <w:pPr>
            <w:jc w:val="right"/>
          </w:pPr>
          <w:r>
            <w:rPr>
              <w:color w:val="595959"/>
              <w:sz w:val="18"/>
            </w:rPr>
            <w:t>ISO/IEC 27001:2022 — Template Gratuit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