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9A961"/>
          <w:sz w:val="28"/>
        </w:rPr>
        <w:t>ISO/IEC 27001:2022</w:t>
      </w:r>
    </w:p>
    <w:p>
      <w:pPr>
        <w:spacing w:before="400"/>
        <w:jc w:val="center"/>
      </w:pPr>
      <w:r>
        <w:rPr>
          <w:b/>
          <w:color w:val="1F3A5F"/>
          <w:sz w:val="48"/>
        </w:rPr>
        <w:t>Procédure d'analyse des causes profondes (RCA)</w:t>
      </w:r>
    </w:p>
    <w:p>
      <w:pPr>
        <w:jc w:val="center"/>
      </w:pPr>
      <w:r>
        <w:rPr>
          <w:i/>
          <w:color w:val="555555"/>
          <w:sz w:val="26"/>
        </w:rPr>
        <w:t>Root Cause Analysis — 5 Whys et Ishikawa — Clause 10.2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4535"/>
      </w:tblGrid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Référence document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PROC-SMSI-RCA-001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Date de publication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15/05/2026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Statut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Modèle — à adapter au contexte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Diffusion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Usage interne — Confidentiel C2</w:t>
            </w:r>
          </w:p>
        </w:tc>
      </w:tr>
    </w:tbl>
    <w:p>
      <w:pPr>
        <w:spacing w:before="600"/>
        <w:jc w:val="both"/>
      </w:pPr>
      <w:r>
        <w:rPr>
          <w:i/>
          <w:color w:val="555555"/>
          <w:sz w:val="18"/>
        </w:rPr>
        <w:t>Ce modèle est fourni gratuitement par ayinedjimi-consultants.fr à des fins pédagogiques et de support à la mise en conformité ISO/IEC 27001:2022. Il doit être adapté au contexte, au périmètre et aux exigences spécifiques de l'organisme utilisateur. La responsabilité de la conformité finale incombe à l'utilisateur. Toute reproduction commerciale est interdite.</w:t>
      </w:r>
    </w:p>
    <w:p>
      <w:r>
        <w:br w:type="page"/>
      </w:r>
    </w:p>
    <w:p>
      <w:pPr>
        <w:spacing w:after="240"/>
      </w:pPr>
      <w:r>
        <w:rPr>
          <w:b/>
          <w:color w:val="1F3A5F"/>
          <w:sz w:val="36"/>
        </w:rPr>
        <w:t>Sommaire</w:t>
      </w:r>
    </w:p>
    <w:p>
      <w:pPr>
        <w:ind w:left="0"/>
      </w:pPr>
      <w:r>
        <w:rPr>
          <w:b/>
          <w:color w:val="1F3A5F"/>
          <w:sz w:val="22"/>
        </w:rPr>
        <w:t>1  Objet et périmètre</w:t>
      </w:r>
    </w:p>
    <w:p>
      <w:pPr>
        <w:ind w:left="0"/>
      </w:pPr>
      <w:r>
        <w:rPr>
          <w:b/>
          <w:color w:val="1F3A5F"/>
          <w:sz w:val="22"/>
        </w:rPr>
        <w:t>2  Références</w:t>
      </w:r>
    </w:p>
    <w:p>
      <w:pPr>
        <w:ind w:left="0"/>
      </w:pPr>
      <w:r>
        <w:rPr>
          <w:b/>
          <w:color w:val="1F3A5F"/>
          <w:sz w:val="22"/>
        </w:rPr>
        <w:t>3  Déclenchement d'une RCA</w:t>
      </w:r>
    </w:p>
    <w:p>
      <w:pPr>
        <w:ind w:left="0"/>
      </w:pPr>
      <w:r>
        <w:rPr>
          <w:b/>
          <w:color w:val="1F3A5F"/>
          <w:sz w:val="22"/>
        </w:rPr>
        <w:t>4  Acteurs</w:t>
      </w:r>
    </w:p>
    <w:p>
      <w:pPr>
        <w:ind w:left="0"/>
      </w:pPr>
      <w:r>
        <w:rPr>
          <w:b/>
          <w:color w:val="1F3A5F"/>
          <w:sz w:val="22"/>
        </w:rPr>
        <w:t>5  Méthodologie</w:t>
      </w:r>
    </w:p>
    <w:p>
      <w:pPr>
        <w:ind w:left="283"/>
      </w:pPr>
      <w:r>
        <w:rPr>
          <w:sz w:val="22"/>
        </w:rPr>
        <w:t>5.1  Étape 1 — Collecte des faits</w:t>
      </w:r>
    </w:p>
    <w:p>
      <w:pPr>
        <w:ind w:left="283"/>
      </w:pPr>
      <w:r>
        <w:rPr>
          <w:sz w:val="22"/>
        </w:rPr>
        <w:t>5.2  Étape 2 — Analyse 5 Whys (5 Pourquoi)</w:t>
      </w:r>
    </w:p>
    <w:p>
      <w:pPr>
        <w:ind w:left="283"/>
      </w:pPr>
      <w:r>
        <w:rPr>
          <w:sz w:val="22"/>
        </w:rPr>
        <w:t>5.3  Étape 3 — Diagramme d'Ishikawa</w:t>
      </w:r>
    </w:p>
    <w:p>
      <w:pPr>
        <w:ind w:left="283"/>
      </w:pPr>
      <w:r>
        <w:rPr>
          <w:sz w:val="22"/>
        </w:rPr>
        <w:t>5.4  Étape 4 — Identification des causes profondes</w:t>
      </w:r>
    </w:p>
    <w:p>
      <w:pPr>
        <w:ind w:left="283"/>
      </w:pPr>
      <w:r>
        <w:rPr>
          <w:sz w:val="22"/>
        </w:rPr>
        <w:t>5.5  Étape 5 — Plan d'actions correctives et préventives</w:t>
      </w:r>
    </w:p>
    <w:p>
      <w:pPr>
        <w:ind w:left="0"/>
      </w:pPr>
      <w:r>
        <w:rPr>
          <w:b/>
          <w:color w:val="1F3A5F"/>
          <w:sz w:val="22"/>
        </w:rPr>
        <w:t>6  Modèle 5 Whys pré-formaté</w:t>
      </w:r>
    </w:p>
    <w:p>
      <w:pPr>
        <w:ind w:left="0"/>
      </w:pPr>
      <w:r>
        <w:rPr>
          <w:b/>
          <w:color w:val="1F3A5F"/>
          <w:sz w:val="22"/>
        </w:rPr>
        <w:t>7  Modèle Ishikawa pré-formaté</w:t>
      </w:r>
    </w:p>
    <w:p>
      <w:pPr>
        <w:ind w:left="0"/>
      </w:pPr>
      <w:r>
        <w:rPr>
          <w:b/>
          <w:color w:val="1F3A5F"/>
          <w:sz w:val="22"/>
        </w:rPr>
        <w:t>8  Plan d'actions et suivi 90 jours</w:t>
      </w:r>
    </w:p>
    <w:p>
      <w:pPr>
        <w:ind w:left="0"/>
      </w:pPr>
      <w:r>
        <w:rPr>
          <w:b/>
          <w:color w:val="1F3A5F"/>
          <w:sz w:val="22"/>
        </w:rPr>
        <w:t>9  Validation et clôture</w:t>
      </w:r>
    </w:p>
    <w:p>
      <w:pPr>
        <w:ind w:left="0"/>
      </w:pPr>
      <w:r>
        <w:rPr>
          <w:b/>
          <w:color w:val="1F3A5F"/>
          <w:sz w:val="22"/>
        </w:rPr>
        <w:t>10  Indicateurs et reporting</w:t>
      </w:r>
    </w:p>
    <w:p>
      <w:pPr>
        <w:ind w:left="0"/>
      </w:pPr>
      <w:r>
        <w:rPr>
          <w:b/>
          <w:color w:val="1F3A5F"/>
          <w:sz w:val="22"/>
        </w:rPr>
        <w:t>11  Revue et amélioration</w:t>
      </w:r>
    </w:p>
    <w:p>
      <w:pPr>
        <w:ind w:left="0"/>
      </w:pPr>
      <w:r>
        <w:rPr>
          <w:b/>
          <w:color w:val="1F3A5F"/>
          <w:sz w:val="22"/>
        </w:rPr>
        <w:t>12  Validation et signatures</w:t>
      </w:r>
    </w:p>
    <w:p>
      <w:r>
        <w:br w:type="page"/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  Objet et périmètre</w:t>
      </w:r>
    </w:p>
    <w:p>
      <w:pPr>
        <w:jc w:val="both"/>
      </w:pPr>
      <w:r>
        <w:rPr>
          <w:b w:val="0"/>
          <w:i w:val="0"/>
          <w:sz w:val="22"/>
        </w:rPr>
        <w:t>La présente procédure définit la méthodologie d'analyse des causes profondes (Root Cause Analysis, RCA) à mettre en œuvre pour tout incident, non-conformité ou écart significatif détecté dans le périmètre SMSI. Elle répond à l'exigence de la clause 10.2 de la norme ISO/IEC 27001:2022 (Non-conformité et action corrective).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2  Références</w:t>
      </w:r>
    </w:p>
    <w:p>
      <w:pPr>
        <w:pStyle w:val="ListBullet"/>
        <w:ind w:left="283"/>
      </w:pPr>
      <w:r/>
      <w:r>
        <w:rPr>
          <w:sz w:val="22"/>
        </w:rPr>
        <w:t>ISO/IEC 27001:2022 — Clause 10.2 et 10.1</w:t>
      </w:r>
    </w:p>
    <w:p>
      <w:pPr>
        <w:pStyle w:val="ListBullet"/>
        <w:ind w:left="283"/>
      </w:pPr>
      <w:r/>
      <w:r>
        <w:rPr>
          <w:sz w:val="22"/>
        </w:rPr>
        <w:t>ISO 9001:2015 — Clause 10.2 (méthodologie cousine)</w:t>
      </w:r>
    </w:p>
    <w:p>
      <w:pPr>
        <w:pStyle w:val="ListBullet"/>
        <w:ind w:left="283"/>
      </w:pPr>
      <w:r/>
      <w:r>
        <w:rPr>
          <w:sz w:val="22"/>
        </w:rPr>
        <w:t>Procédure de gestion des incidents (réf. PROC-INC-01)</w:t>
      </w:r>
    </w:p>
    <w:p>
      <w:pPr>
        <w:pStyle w:val="ListBullet"/>
        <w:ind w:left="283"/>
      </w:pPr>
      <w:r/>
      <w:r>
        <w:rPr>
          <w:sz w:val="22"/>
        </w:rPr>
        <w:t>Registre des non-conformités (réf. REG-SMSI-NC-001)</w:t>
      </w:r>
    </w:p>
    <w:p>
      <w:pPr>
        <w:pStyle w:val="ListBullet"/>
        <w:ind w:left="283"/>
      </w:pPr>
      <w:r/>
      <w:r>
        <w:rPr>
          <w:sz w:val="22"/>
        </w:rPr>
        <w:t>Méthodes pédagogiques : 5 Whys (Toyota), Ishikawa, Fault Tree Analysis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3  Déclenchement d'une RCA</w:t>
      </w:r>
    </w:p>
    <w:p>
      <w:pPr>
        <w:jc w:val="both"/>
      </w:pPr>
      <w:r>
        <w:rPr>
          <w:b w:val="0"/>
          <w:i w:val="0"/>
          <w:sz w:val="22"/>
        </w:rPr>
        <w:t>Une RCA est obligatoirement déclenchée dans les cas suivants :</w:t>
      </w:r>
    </w:p>
    <w:p>
      <w:pPr>
        <w:pStyle w:val="ListBullet"/>
        <w:ind w:left="283"/>
      </w:pPr>
      <w:r/>
      <w:r>
        <w:rPr>
          <w:sz w:val="22"/>
        </w:rPr>
        <w:t>Incident de sécurité de niveau Majeur (P1) ou Critique (P0)</w:t>
      </w:r>
    </w:p>
    <w:p>
      <w:pPr>
        <w:pStyle w:val="ListBullet"/>
        <w:ind w:left="283"/>
      </w:pPr>
      <w:r/>
      <w:r>
        <w:rPr>
          <w:sz w:val="22"/>
        </w:rPr>
        <w:t>Non-conformité majeure constatée en audit interne ou externe</w:t>
      </w:r>
    </w:p>
    <w:p>
      <w:pPr>
        <w:pStyle w:val="ListBullet"/>
        <w:ind w:left="283"/>
      </w:pPr>
      <w:r/>
      <w:r>
        <w:rPr>
          <w:sz w:val="22"/>
        </w:rPr>
        <w:t>Récurrence d'un même type d'incident (≥ 3 occurrences sur 6 mois)</w:t>
      </w:r>
    </w:p>
    <w:p>
      <w:pPr>
        <w:pStyle w:val="ListBullet"/>
        <w:ind w:left="283"/>
      </w:pPr>
      <w:r/>
      <w:r>
        <w:rPr>
          <w:sz w:val="22"/>
        </w:rPr>
        <w:t>Échec d'un test PCA / PRA</w:t>
      </w:r>
    </w:p>
    <w:p>
      <w:pPr>
        <w:pStyle w:val="ListBullet"/>
        <w:ind w:left="283"/>
      </w:pPr>
      <w:r/>
      <w:r>
        <w:rPr>
          <w:sz w:val="22"/>
        </w:rPr>
        <w:t>Atteinte à la confidentialité de DCP de niveau notification CNIL</w:t>
      </w:r>
    </w:p>
    <w:p>
      <w:pPr>
        <w:pStyle w:val="ListBullet"/>
        <w:ind w:left="283"/>
      </w:pPr>
      <w:r/>
      <w:r>
        <w:rPr>
          <w:sz w:val="22"/>
        </w:rPr>
        <w:t>Décision explicite du Comité Sécurité ou de la Direction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4  Acteurs</w:t>
      </w:r>
    </w:p>
    <w:p>
      <w:pPr>
        <w:pStyle w:val="ListBullet"/>
        <w:ind w:left="283"/>
      </w:pPr>
      <w:r/>
      <w:r>
        <w:rPr>
          <w:sz w:val="22"/>
        </w:rPr>
        <w:t>Pilote RCA : RSSI (ou délégué) — coordination, méthodologie, rédaction</w:t>
      </w:r>
    </w:p>
    <w:p>
      <w:pPr>
        <w:pStyle w:val="ListBullet"/>
        <w:ind w:left="283"/>
      </w:pPr>
      <w:r/>
      <w:r>
        <w:rPr>
          <w:sz w:val="22"/>
        </w:rPr>
        <w:t>Sponsor : Direction concernée (DSI, RH, Métier selon nature)</w:t>
      </w:r>
    </w:p>
    <w:p>
      <w:pPr>
        <w:pStyle w:val="ListBullet"/>
        <w:ind w:left="283"/>
      </w:pPr>
      <w:r/>
      <w:r>
        <w:rPr>
          <w:sz w:val="22"/>
        </w:rPr>
        <w:t>Experts contributeurs : selon nature de l'incident (technique, organisationnel, humain)</w:t>
      </w:r>
    </w:p>
    <w:p>
      <w:pPr>
        <w:pStyle w:val="ListBullet"/>
        <w:ind w:left="283"/>
      </w:pPr>
      <w:r/>
      <w:r>
        <w:rPr>
          <w:sz w:val="22"/>
        </w:rPr>
        <w:t>Facilitateur : externe ou interne neutre, formé aux méthodes RCA</w:t>
      </w:r>
    </w:p>
    <w:p>
      <w:pPr>
        <w:pStyle w:val="ListBullet"/>
        <w:ind w:left="283"/>
      </w:pPr>
      <w:r/>
      <w:r>
        <w:rPr>
          <w:sz w:val="22"/>
        </w:rPr>
        <w:t>Owner d'actions : nommés à l'issue, redevables du plan d'actions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5  Méthodologie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5.1  Étape 1 — Collecte des faits</w:t>
      </w:r>
    </w:p>
    <w:p>
      <w:pPr>
        <w:pStyle w:val="ListBullet"/>
        <w:ind w:left="283"/>
      </w:pPr>
      <w:r/>
      <w:r>
        <w:rPr>
          <w:sz w:val="22"/>
        </w:rPr>
        <w:t>Réunir toutes les preuves disponibles : logs, tickets, captures, interviews, indicateurs</w:t>
      </w:r>
    </w:p>
    <w:p>
      <w:pPr>
        <w:pStyle w:val="ListBullet"/>
        <w:ind w:left="283"/>
      </w:pPr>
      <w:r/>
      <w:r>
        <w:rPr>
          <w:sz w:val="22"/>
        </w:rPr>
        <w:t>Établir la chronologie précise (timeline) de l'événement</w:t>
      </w:r>
    </w:p>
    <w:p>
      <w:pPr>
        <w:pStyle w:val="ListBullet"/>
        <w:ind w:left="283"/>
      </w:pPr>
      <w:r/>
      <w:r>
        <w:rPr>
          <w:sz w:val="22"/>
        </w:rPr>
        <w:t>Identifier les acteurs impliqués (sans recherche d'individus responsables)</w:t>
      </w:r>
    </w:p>
    <w:p>
      <w:pPr>
        <w:pStyle w:val="ListBullet"/>
        <w:ind w:left="283"/>
      </w:pPr>
      <w:r/>
      <w:r>
        <w:rPr>
          <w:sz w:val="22"/>
        </w:rPr>
        <w:t>Documenter l'impact réel et potentiel</w:t>
      </w:r>
    </w:p>
    <w:p>
      <w:pPr>
        <w:pStyle w:val="ListBullet"/>
        <w:ind w:left="283"/>
      </w:pPr>
      <w:r/>
      <w:r>
        <w:rPr>
          <w:sz w:val="22"/>
        </w:rPr>
        <w:t>Approche no blame : se concentrer sur le système, pas sur les personnes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5.2  Étape 2 — Analyse 5 Whys (5 Pourquoi)</w:t>
      </w:r>
    </w:p>
    <w:p>
      <w:pPr>
        <w:jc w:val="both"/>
      </w:pPr>
      <w:r>
        <w:rPr>
          <w:b w:val="0"/>
          <w:i w:val="0"/>
          <w:sz w:val="22"/>
        </w:rPr>
        <w:t>Technique simple consistant à poser successivement la question 'Pourquoi ?' jusqu'à atteindre une cause systémique. Le chiffre 5 est indicatif — peut être 3 ou 7 selon profondeur.</w:t>
      </w:r>
    </w:p>
    <w:p>
      <w:pPr>
        <w:pStyle w:val="ListBullet"/>
        <w:ind w:left="283"/>
      </w:pPr>
      <w:r/>
      <w:r>
        <w:rPr>
          <w:sz w:val="22"/>
        </w:rPr>
        <w:t>Commencer par l'énoncé du problème factuel</w:t>
      </w:r>
    </w:p>
    <w:p>
      <w:pPr>
        <w:pStyle w:val="ListBullet"/>
        <w:ind w:left="283"/>
      </w:pPr>
      <w:r/>
      <w:r>
        <w:rPr>
          <w:sz w:val="22"/>
        </w:rPr>
        <w:t>Poser 'Pourquoi ?' à chaque réponse, sans s'arrêter au premier niveau</w:t>
      </w:r>
    </w:p>
    <w:p>
      <w:pPr>
        <w:pStyle w:val="ListBullet"/>
        <w:ind w:left="283"/>
      </w:pPr>
      <w:r/>
      <w:r>
        <w:rPr>
          <w:sz w:val="22"/>
        </w:rPr>
        <w:t>Vérifier la logique inverse : 'si on corrige cette cause, le problème disparaît-il ?'</w:t>
      </w:r>
    </w:p>
    <w:p>
      <w:pPr>
        <w:pStyle w:val="ListBullet"/>
        <w:ind w:left="283"/>
      </w:pPr>
      <w:r/>
      <w:r>
        <w:rPr>
          <w:sz w:val="22"/>
        </w:rPr>
        <w:t>S'arrêter quand on atteint une cause sur laquelle on peut agir durablement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5.3  Étape 3 — Diagramme d'Ishikawa</w:t>
      </w:r>
    </w:p>
    <w:p>
      <w:pPr>
        <w:jc w:val="both"/>
      </w:pPr>
      <w:r>
        <w:rPr>
          <w:b w:val="0"/>
          <w:i w:val="0"/>
          <w:sz w:val="22"/>
        </w:rPr>
        <w:t>Diagramme en arête de poisson explorant les causes potentielles sur 6 axes (les '6 M') :</w:t>
      </w:r>
    </w:p>
    <w:p>
      <w:pPr>
        <w:pStyle w:val="ListBullet"/>
        <w:ind w:left="283"/>
      </w:pPr>
      <w:r/>
      <w:r>
        <w:rPr>
          <w:sz w:val="22"/>
        </w:rPr>
        <w:t>Main d'œuvre (people) — compétences, formation, fatigue, sensibilisation</w:t>
      </w:r>
    </w:p>
    <w:p>
      <w:pPr>
        <w:pStyle w:val="ListBullet"/>
        <w:ind w:left="283"/>
      </w:pPr>
      <w:r/>
      <w:r>
        <w:rPr>
          <w:sz w:val="22"/>
        </w:rPr>
        <w:t>Méthode (process) — procédures, instructions, workflow</w:t>
      </w:r>
    </w:p>
    <w:p>
      <w:pPr>
        <w:pStyle w:val="ListBullet"/>
        <w:ind w:left="283"/>
      </w:pPr>
      <w:r/>
      <w:r>
        <w:rPr>
          <w:sz w:val="22"/>
        </w:rPr>
        <w:t>Matériel (equipment) — outils, logiciels, infrastructure</w:t>
      </w:r>
    </w:p>
    <w:p>
      <w:pPr>
        <w:pStyle w:val="ListBullet"/>
        <w:ind w:left="283"/>
      </w:pPr>
      <w:r/>
      <w:r>
        <w:rPr>
          <w:sz w:val="22"/>
        </w:rPr>
        <w:t>Milieu (environment) — physique, organisationnel, culturel</w:t>
      </w:r>
    </w:p>
    <w:p>
      <w:pPr>
        <w:pStyle w:val="ListBullet"/>
        <w:ind w:left="283"/>
      </w:pPr>
      <w:r/>
      <w:r>
        <w:rPr>
          <w:sz w:val="22"/>
        </w:rPr>
        <w:t>Matière (input) — données, informations, fournisseurs</w:t>
      </w:r>
    </w:p>
    <w:p>
      <w:pPr>
        <w:pStyle w:val="ListBullet"/>
        <w:ind w:left="283"/>
      </w:pPr>
      <w:r/>
      <w:r>
        <w:rPr>
          <w:sz w:val="22"/>
        </w:rPr>
        <w:t>Mesure (measurement) — KPI, indicateurs, supervision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5.4  Étape 4 — Identification des causes profondes</w:t>
      </w:r>
    </w:p>
    <w:p>
      <w:pPr>
        <w:pStyle w:val="ListBullet"/>
        <w:ind w:left="283"/>
      </w:pPr>
      <w:r/>
      <w:r>
        <w:rPr>
          <w:sz w:val="22"/>
        </w:rPr>
        <w:t>Croiser les analyses 5 Whys et Ishikawa</w:t>
      </w:r>
    </w:p>
    <w:p>
      <w:pPr>
        <w:pStyle w:val="ListBullet"/>
        <w:ind w:left="283"/>
      </w:pPr>
      <w:r/>
      <w:r>
        <w:rPr>
          <w:sz w:val="22"/>
        </w:rPr>
        <w:t>Distinguer cause immédiate, cause contributive et cause profonde</w:t>
      </w:r>
    </w:p>
    <w:p>
      <w:pPr>
        <w:pStyle w:val="ListBullet"/>
        <w:ind w:left="283"/>
      </w:pPr>
      <w:r/>
      <w:r>
        <w:rPr>
          <w:sz w:val="22"/>
        </w:rPr>
        <w:t>Vérifier l'agissabilité de chaque cause identifiée</w:t>
      </w:r>
    </w:p>
    <w:p>
      <w:pPr>
        <w:pStyle w:val="ListBullet"/>
        <w:ind w:left="283"/>
      </w:pPr>
      <w:r/>
      <w:r>
        <w:rPr>
          <w:sz w:val="22"/>
        </w:rPr>
        <w:t>Documenter clairement le lien de causalité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5.5  Étape 5 — Plan d'actions correctives et préventives</w:t>
      </w:r>
    </w:p>
    <w:p>
      <w:pPr>
        <w:pStyle w:val="ListBullet"/>
        <w:ind w:left="283"/>
      </w:pPr>
      <w:r/>
      <w:r>
        <w:rPr>
          <w:sz w:val="22"/>
        </w:rPr>
        <w:t>Actions correctives — élimination de la cause immédiate (rétablir la conformité)</w:t>
      </w:r>
    </w:p>
    <w:p>
      <w:pPr>
        <w:pStyle w:val="ListBullet"/>
        <w:ind w:left="283"/>
      </w:pPr>
      <w:r/>
      <w:r>
        <w:rPr>
          <w:sz w:val="22"/>
        </w:rPr>
        <w:t>Actions préventives — élimination de la cause profonde (éviter la récurrence)</w:t>
      </w:r>
    </w:p>
    <w:p>
      <w:pPr>
        <w:pStyle w:val="ListBullet"/>
        <w:ind w:left="283"/>
      </w:pPr>
      <w:r/>
      <w:r>
        <w:rPr>
          <w:sz w:val="22"/>
        </w:rPr>
        <w:t>Actions d'amélioration — saisir l'opportunité (over-engineering raisonnable)</w:t>
      </w:r>
    </w:p>
    <w:p>
      <w:pPr>
        <w:pStyle w:val="ListBullet"/>
        <w:ind w:left="283"/>
      </w:pPr>
      <w:r/>
      <w:r>
        <w:rPr>
          <w:sz w:val="22"/>
        </w:rPr>
        <w:t>Chaque action : owner, échéance, ressource, indicateur de succès, vérification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6  Modèle 5 Whys pré-formaté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Niveau</w:t>
            </w:r>
          </w:p>
        </w:tc>
        <w:tc>
          <w:tcPr>
            <w:tcW w:type="dxa" w:w="39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Question / Réponse</w:t>
            </w:r>
          </w:p>
        </w:tc>
        <w:tc>
          <w:tcPr>
            <w:tcW w:type="dxa" w:w="311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Source d'information / preuve</w:t>
            </w:r>
          </w:p>
        </w:tc>
      </w:tr>
      <w:tr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Problème</w:t>
            </w:r>
          </w:p>
        </w:tc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[Énoncer le problème en termes factuels et mesurables]</w:t>
            </w:r>
          </w:p>
        </w:tc>
        <w:tc>
          <w:tcPr>
            <w:tcW w:type="dxa" w:w="311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[Logs, ticket, rapport]</w:t>
            </w:r>
          </w:p>
        </w:tc>
      </w:tr>
      <w:tr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Why 1 — Pourquoi ?</w:t>
            </w:r>
          </w:p>
        </w:tc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[Cause immédiate]</w:t>
            </w:r>
          </w:p>
        </w:tc>
        <w:tc>
          <w:tcPr>
            <w:tcW w:type="dxa" w:w="311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[Preuve]</w:t>
            </w:r>
          </w:p>
        </w:tc>
      </w:tr>
      <w:tr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Why 2 — Pourquoi ?</w:t>
            </w:r>
          </w:p>
        </w:tc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[Cause contributive 1]</w:t>
            </w:r>
          </w:p>
        </w:tc>
        <w:tc>
          <w:tcPr>
            <w:tcW w:type="dxa" w:w="311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[Preuve]</w:t>
            </w:r>
          </w:p>
        </w:tc>
      </w:tr>
      <w:tr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Why 3 — Pourquoi ?</w:t>
            </w:r>
          </w:p>
        </w:tc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[Cause contributive 2]</w:t>
            </w:r>
          </w:p>
        </w:tc>
        <w:tc>
          <w:tcPr>
            <w:tcW w:type="dxa" w:w="311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[Preuve]</w:t>
            </w:r>
          </w:p>
        </w:tc>
      </w:tr>
      <w:tr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Why 4 — Pourquoi ?</w:t>
            </w:r>
          </w:p>
        </w:tc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[Cause organisationnelle]</w:t>
            </w:r>
          </w:p>
        </w:tc>
        <w:tc>
          <w:tcPr>
            <w:tcW w:type="dxa" w:w="311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[Preuve]</w:t>
            </w:r>
          </w:p>
        </w:tc>
      </w:tr>
      <w:tr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Why 5 — Pourquoi ?</w:t>
            </w:r>
          </w:p>
        </w:tc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[Cause systémique / racine]</w:t>
            </w:r>
          </w:p>
        </w:tc>
        <w:tc>
          <w:tcPr>
            <w:tcW w:type="dxa" w:w="311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[Preuve]</w:t>
            </w:r>
          </w:p>
        </w:tc>
      </w:tr>
      <w:tr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Validation logique</w:t>
            </w:r>
          </w:p>
        </w:tc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[Si on corrige Why 5, le problème disparaît-il ?]</w:t>
            </w:r>
          </w:p>
        </w:tc>
        <w:tc>
          <w:tcPr>
            <w:tcW w:type="dxa" w:w="311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[Raisonnement, simulation]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7  Modèle Ishikawa pré-formaté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Axe 6M</w:t>
            </w:r>
          </w:p>
        </w:tc>
        <w:tc>
          <w:tcPr>
            <w:tcW w:type="dxa" w:w="6236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Causes potentielles à explorer</w:t>
            </w:r>
          </w:p>
        </w:tc>
        <w:tc>
          <w:tcPr>
            <w:tcW w:type="dxa" w:w="56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Confirmé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Main d'œuvre</w:t>
            </w:r>
          </w:p>
        </w:tc>
        <w:tc>
          <w:tcPr>
            <w:tcW w:type="dxa" w:w="623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Compétence insuffisante / Surcharge / Manque sensibilisation / Pression / Communication</w:t>
            </w:r>
          </w:p>
        </w:tc>
        <w:tc>
          <w:tcPr>
            <w:tcW w:type="dxa" w:w="56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Méthode</w:t>
            </w:r>
          </w:p>
        </w:tc>
        <w:tc>
          <w:tcPr>
            <w:tcW w:type="dxa" w:w="6236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Procédure absente / Procédure ambiguë / Non-application / Désuète / Non-formalisée</w:t>
            </w:r>
          </w:p>
        </w:tc>
        <w:tc>
          <w:tcPr>
            <w:tcW w:type="dxa" w:w="56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Matériel</w:t>
            </w:r>
          </w:p>
        </w:tc>
        <w:tc>
          <w:tcPr>
            <w:tcW w:type="dxa" w:w="623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Outil obsolète / Indisponible / Panne / Mauvaise configuration / Manque de capacité</w:t>
            </w:r>
          </w:p>
        </w:tc>
        <w:tc>
          <w:tcPr>
            <w:tcW w:type="dxa" w:w="56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Milieu</w:t>
            </w:r>
          </w:p>
        </w:tc>
        <w:tc>
          <w:tcPr>
            <w:tcW w:type="dxa" w:w="6236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Locaux inadéquats / Bruit / Climat de travail / Culture sécurité faible / Pression temps</w:t>
            </w:r>
          </w:p>
        </w:tc>
        <w:tc>
          <w:tcPr>
            <w:tcW w:type="dxa" w:w="56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Matière (input)</w:t>
            </w:r>
          </w:p>
        </w:tc>
        <w:tc>
          <w:tcPr>
            <w:tcW w:type="dxa" w:w="623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Données incomplètes / Sources non fiables / Format inadapté / Délai trop court</w:t>
            </w:r>
          </w:p>
        </w:tc>
        <w:tc>
          <w:tcPr>
            <w:tcW w:type="dxa" w:w="56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Mesure</w:t>
            </w:r>
          </w:p>
        </w:tc>
        <w:tc>
          <w:tcPr>
            <w:tcW w:type="dxa" w:w="6236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KPI absent / Alerte non configurée / Seuil mal défini / Indicateur trompeur</w:t>
            </w:r>
          </w:p>
        </w:tc>
        <w:tc>
          <w:tcPr>
            <w:tcW w:type="dxa" w:w="56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8  Plan d'actions et suivi 90 jours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56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N°</w:t>
            </w:r>
          </w:p>
        </w:tc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020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Échéance</w:t>
            </w:r>
          </w:p>
        </w:tc>
        <w:tc>
          <w:tcPr>
            <w:tcW w:type="dxa" w:w="850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Statut J+30</w:t>
            </w:r>
          </w:p>
        </w:tc>
        <w:tc>
          <w:tcPr>
            <w:tcW w:type="dxa" w:w="850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Statut J+60</w:t>
            </w:r>
          </w:p>
        </w:tc>
        <w:tc>
          <w:tcPr>
            <w:tcW w:type="dxa" w:w="850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Statut J+90</w:t>
            </w:r>
          </w:p>
        </w:tc>
      </w:tr>
      <w:tr>
        <w:tc>
          <w:tcPr>
            <w:tcW w:type="dxa" w:w="56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A-01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[Action]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Corrective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102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[Date]</w:t>
            </w:r>
          </w:p>
        </w:tc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[☐ Réalisé / ☐ En cours / ☐ Bloqué]</w:t>
            </w:r>
          </w:p>
        </w:tc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—</w:t>
            </w:r>
          </w:p>
        </w:tc>
      </w:tr>
      <w:tr>
        <w:tc>
          <w:tcPr>
            <w:tcW w:type="dxa" w:w="56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A-02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[Action]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Préventive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102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[Date]</w:t>
            </w:r>
          </w:p>
        </w:tc>
        <w:tc>
          <w:tcPr>
            <w:tcW w:type="dxa" w:w="85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85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[Statut]</w:t>
            </w:r>
          </w:p>
        </w:tc>
        <w:tc>
          <w:tcPr>
            <w:tcW w:type="dxa" w:w="85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—</w:t>
            </w:r>
          </w:p>
        </w:tc>
      </w:tr>
      <w:tr>
        <w:tc>
          <w:tcPr>
            <w:tcW w:type="dxa" w:w="56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A-03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[Action]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Amélioration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102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[Date]</w:t>
            </w:r>
          </w:p>
        </w:tc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[Statut]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4F1EA" w:val="clear"/>
            <w:tcBorders>
              <w:top w:val="single" w:sz="6" w:color="C9A961"/>
              <w:left w:val="single" w:sz="6" w:color="C9A961"/>
              <w:bottom w:val="single" w:sz="6" w:color="C9A961"/>
              <w:right w:val="single" w:sz="6" w:color="C9A961"/>
            </w:tcBorders>
          </w:tcPr>
          <w:p>
            <w:r/>
            <w:r>
              <w:rPr>
                <w:b/>
                <w:color w:val="C9A961"/>
                <w:sz w:val="20"/>
              </w:rPr>
              <w:t xml:space="preserve">Suivi 90 jours — </w:t>
            </w:r>
            <w:r>
              <w:rPr>
                <w:i/>
                <w:color w:val="222222"/>
                <w:sz w:val="20"/>
              </w:rPr>
              <w:t>Toutes les actions sont suivies par le RSSI en revue mensuelle. À J+90, un bilan de clôture évalue l'efficacité des actions et la non-récurrence. Si récurrence, nouvelle RCA déclenchée avec escalade Direction.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9  Validation et clôture</w:t>
      </w:r>
    </w:p>
    <w:p>
      <w:pPr>
        <w:pStyle w:val="ListBullet"/>
        <w:ind w:left="283"/>
      </w:pPr>
      <w:r/>
      <w:r>
        <w:rPr>
          <w:sz w:val="22"/>
        </w:rPr>
        <w:t>Rapport RCA formel rédigé par le pilote (5 à 10 pages typiques)</w:t>
      </w:r>
    </w:p>
    <w:p>
      <w:pPr>
        <w:pStyle w:val="ListBullet"/>
        <w:ind w:left="283"/>
      </w:pPr>
      <w:r/>
      <w:r>
        <w:rPr>
          <w:sz w:val="22"/>
        </w:rPr>
        <w:t>Présentation et validation en Comité Sécurité</w:t>
      </w:r>
    </w:p>
    <w:p>
      <w:pPr>
        <w:pStyle w:val="ListBullet"/>
        <w:ind w:left="283"/>
      </w:pPr>
      <w:r/>
      <w:r>
        <w:rPr>
          <w:sz w:val="22"/>
        </w:rPr>
        <w:t>Pour NC majeure ou incident critique : présentation revue de direction</w:t>
      </w:r>
    </w:p>
    <w:p>
      <w:pPr>
        <w:pStyle w:val="ListBullet"/>
        <w:ind w:left="283"/>
      </w:pPr>
      <w:r/>
      <w:r>
        <w:rPr>
          <w:sz w:val="22"/>
        </w:rPr>
        <w:t>Communication ciblée aux équipes concernées (RETEX no blame)</w:t>
      </w:r>
    </w:p>
    <w:p>
      <w:pPr>
        <w:pStyle w:val="ListBullet"/>
        <w:ind w:left="283"/>
      </w:pPr>
      <w:r/>
      <w:r>
        <w:rPr>
          <w:sz w:val="22"/>
        </w:rPr>
        <w:t>Archivage du dossier RCA dans la GED SMSI (rétention 5 ans)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10  Indicateurs et reporting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56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Indicateur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Cible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RCA réalisée dans les 15 jours suivant l'incident P0/P1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90%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Plan d'actions complet sous 30 jours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Actions correctives réalisées à J+30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80%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Actions préventives réalisées à J+90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80%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Récurrence de la même cause profonde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0 sur 12 mois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11  Revue et amélioration</w:t>
      </w:r>
    </w:p>
    <w:p>
      <w:pPr>
        <w:pStyle w:val="ListBullet"/>
        <w:ind w:left="283"/>
      </w:pPr>
      <w:r/>
      <w:r>
        <w:rPr>
          <w:sz w:val="22"/>
        </w:rPr>
        <w:t>Revue annuelle de la procédure en revue de direction</w:t>
      </w:r>
    </w:p>
    <w:p>
      <w:pPr>
        <w:pStyle w:val="ListBullet"/>
        <w:ind w:left="283"/>
      </w:pPr>
      <w:r/>
      <w:r>
        <w:rPr>
          <w:sz w:val="22"/>
        </w:rPr>
        <w:t>Atelier de retour d'expérience annuel sur les RCA réalisées</w:t>
      </w:r>
    </w:p>
    <w:p>
      <w:pPr>
        <w:pStyle w:val="ListBullet"/>
        <w:ind w:left="283"/>
      </w:pPr>
      <w:r/>
      <w:r>
        <w:rPr>
          <w:sz w:val="22"/>
        </w:rPr>
        <w:t>Mise à jour méthodologique si nouvelles techniques émergent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12  Validation et signatures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—  Signatures et 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Rédigé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Vérifié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Approuvé par</w:t>
            </w:r>
          </w:p>
        </w:tc>
      </w:tr>
      <w:tr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/ Pilote SMSI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  <w:br/>
              <w:t>Nom : ____________________</w:t>
              <w:br/>
              <w:t>Date : ____________________</w:t>
              <w:br/>
              <w:t>Signature :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8"/>
      </w:rPr>
      <w:t xml:space="preserve">Procédure d'analyse des causes profondes (RCA) — ISO/IEC 27001:2022 — Clause 10.2  |  Page </w:t>
    </w:r>
    <w:r>
      <w:fldChar w:fldCharType="begin"/>
      <w:instrText>PAGE</w:instrText>
      <w:fldChar w:fldCharType="end"/>
    </w:r>
    <w:r>
      <w:rPr>
        <w:color w:val="555555"/>
        <w:sz w:val="18"/>
      </w:rPr>
      <w:t xml:space="preserve"> / </w:t>
    </w:r>
    <w:r>
      <w:fldChar w:fldCharType="begin"/>
      <w:instrText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b/>
        <w:color w:val="1F3A5F"/>
        <w:sz w:val="18"/>
      </w:rPr>
      <w:t>ayinedjimi-consultants.fr</w:t>
    </w:r>
    <w:r>
      <w:rPr>
        <w:i/>
        <w:color w:val="555555"/>
        <w:sz w:val="18"/>
      </w:rPr>
      <w:t xml:space="preserve">  |  ISO/IEC 27001:2022 — Template Gratuit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