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0"/>
        <w:jc w:val="center"/>
      </w:pPr>
      <w:r>
        <w:rPr>
          <w:b/>
          <w:color w:val="1F4E79"/>
          <w:sz w:val="22"/>
        </w:rPr>
        <w:t>ISO/IEC 27001:2022 — TEMPLATE GRATUIT</w:t>
      </w:r>
    </w:p>
    <w:p>
      <w:pPr>
        <w:spacing w:before="400"/>
        <w:jc w:val="center"/>
      </w:pPr>
      <w:r>
        <w:rPr>
          <w:b/>
          <w:color w:val="0B2545"/>
          <w:sz w:val="52"/>
        </w:rPr>
        <w:t>Procédure de gestion des incidents de sécurité</w:t>
      </w:r>
    </w:p>
    <w:p>
      <w:pPr>
        <w:jc w:val="center"/>
      </w:pPr>
      <w:r>
        <w:rPr>
          <w:i/>
          <w:color w:val="595959"/>
          <w:sz w:val="26"/>
        </w:rPr>
        <w:t>Conforme ISO/IEC 27001:2022 — A.5.24 à A.5.28 / RGPD art. 33-34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Référence</w:t>
            </w:r>
          </w:p>
        </w:tc>
        <w:tc>
          <w:tcPr>
            <w:tcW w:type="dxa" w:w="3969"/>
          </w:tcPr>
          <w:p>
            <w:r>
              <w:t>TPL-ISO27001-XXXX-v1.0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3969"/>
          </w:tcPr>
          <w:p>
            <w:r>
              <w:t>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Date d'émission</w:t>
            </w:r>
          </w:p>
        </w:tc>
        <w:tc>
          <w:tcPr>
            <w:tcW w:type="dxa" w:w="3969"/>
          </w:tcPr>
          <w:p>
            <w:r>
              <w:t>—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Approuvé par</w:t>
            </w:r>
          </w:p>
        </w:tc>
        <w:tc>
          <w:tcPr>
            <w:tcW w:type="dxa" w:w="3969"/>
          </w:tcPr>
          <w:p>
            <w:r>
              <w:t>Direction Générale / RSSI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Classification</w:t>
            </w:r>
          </w:p>
        </w:tc>
        <w:tc>
          <w:tcPr>
            <w:tcW w:type="dxa" w:w="3969"/>
          </w:tcPr>
          <w:p>
            <w:r>
              <w:t>Interne</w:t>
            </w:r>
          </w:p>
        </w:tc>
      </w:tr>
    </w:tbl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Sommaire</w:t>
      </w:r>
    </w:p>
    <w:p>
      <w:pPr>
        <w:spacing w:after="60"/>
      </w:pPr>
      <w:r>
        <w:rPr>
          <w:sz w:val="22"/>
        </w:rPr>
        <w:t>1. Objet et portée</w:t>
      </w:r>
    </w:p>
    <w:p>
      <w:pPr>
        <w:spacing w:after="60"/>
      </w:pPr>
      <w:r>
        <w:rPr>
          <w:sz w:val="22"/>
        </w:rPr>
        <w:t>2. Définitions et catégories d'incidents</w:t>
      </w:r>
    </w:p>
    <w:p>
      <w:pPr>
        <w:spacing w:after="60"/>
      </w:pPr>
      <w:r>
        <w:rPr>
          <w:sz w:val="22"/>
        </w:rPr>
        <w:t>3. Rôles et responsabilités — CSIRT</w:t>
      </w:r>
    </w:p>
    <w:p>
      <w:pPr>
        <w:spacing w:after="60"/>
      </w:pPr>
      <w:r>
        <w:rPr>
          <w:sz w:val="22"/>
        </w:rPr>
        <w:t>4. Workflow de gestion (NIST SP 800-61r2)</w:t>
      </w:r>
    </w:p>
    <w:p>
      <w:pPr>
        <w:spacing w:after="60"/>
      </w:pPr>
      <w:r>
        <w:rPr>
          <w:sz w:val="22"/>
        </w:rPr>
        <w:t>5. Détection et qualification</w:t>
      </w:r>
    </w:p>
    <w:p>
      <w:pPr>
        <w:spacing w:after="60"/>
      </w:pPr>
      <w:r>
        <w:rPr>
          <w:sz w:val="22"/>
        </w:rPr>
        <w:t>6. Confinement (Containment)</w:t>
      </w:r>
    </w:p>
    <w:p>
      <w:pPr>
        <w:spacing w:after="60"/>
      </w:pPr>
      <w:r>
        <w:rPr>
          <w:sz w:val="22"/>
        </w:rPr>
        <w:t>7. Éradication</w:t>
      </w:r>
    </w:p>
    <w:p>
      <w:pPr>
        <w:spacing w:after="60"/>
      </w:pPr>
      <w:r>
        <w:rPr>
          <w:sz w:val="22"/>
        </w:rPr>
        <w:t>8. Récupération</w:t>
      </w:r>
    </w:p>
    <w:p>
      <w:pPr>
        <w:spacing w:after="60"/>
      </w:pPr>
      <w:r>
        <w:rPr>
          <w:sz w:val="22"/>
        </w:rPr>
        <w:t>9. Tirer les leçons (RETEX)</w:t>
      </w:r>
    </w:p>
    <w:p>
      <w:pPr>
        <w:spacing w:after="60"/>
      </w:pPr>
      <w:r>
        <w:rPr>
          <w:sz w:val="22"/>
        </w:rPr>
        <w:t>10. Notifications réglementaires</w:t>
      </w:r>
    </w:p>
    <w:p>
      <w:pPr>
        <w:spacing w:after="60"/>
      </w:pPr>
      <w:r>
        <w:rPr>
          <w:sz w:val="22"/>
        </w:rPr>
        <w:t>11. Schéma d'escalade</w:t>
      </w:r>
    </w:p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1. Objet et portée</w:t>
      </w:r>
    </w:p>
    <w:p>
      <w:pPr>
        <w:spacing w:line="312" w:lineRule="auto"/>
        <w:jc w:val="both"/>
      </w:pPr>
      <w:r>
        <w:t>La présente procédure décrit le processus de gestion des incidents de sécurité de l'information, depuis la détection jusqu'au retour d'expérience, en application des contrôles A.5.24 à A.5.28 d'ISO/IEC 27001:2022 et du référentiel NIST SP 800-61 Revision 2 « Computer Security Incident Handling Guide ».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2. Définitions et catégories d'incidents</w:t>
      </w:r>
    </w:p>
    <w:p>
      <w:pPr>
        <w:pStyle w:val="ListBullet"/>
        <w:spacing w:after="40"/>
      </w:pPr>
      <w:r>
        <w:t>Événement de sécurité : occurrence identifiée d'un état susceptible d'indiquer une faille.</w:t>
      </w:r>
    </w:p>
    <w:p>
      <w:pPr>
        <w:pStyle w:val="ListBullet"/>
        <w:spacing w:after="40"/>
      </w:pPr>
      <w:r>
        <w:t>Incident de sécurité : événement ayant un impact avéré ou hautement probable sur la sécurité.</w:t>
      </w:r>
    </w:p>
    <w:p>
      <w:pPr>
        <w:pStyle w:val="ListBullet"/>
        <w:spacing w:after="40"/>
      </w:pPr>
      <w:r>
        <w:t>Crise : incident majeur dépassant les capacités de gestion courante, déclenchant la CGC.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Catégorie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Exemples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Gravité initiale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Code malveillant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Ransomware, malware, ver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G3-G5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Compromission de compte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Vol identifiants, prise de contrôle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G3-G5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Intrusion système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Exploitation 0-day, élévation privilèges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G4-G5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Fuite de données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Exfiltration, dump public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G4-G5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Indisponibilité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DDoS, panne, sabotage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G2-G5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Hameçonnage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Phishing, smishing, spear-phishing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G1-G3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Erreur humaine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Mauvaise manipulation, fuite involontaire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G1-G3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3. Rôles et responsabilités — CSIRT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Rôle</w:t>
            </w:r>
          </w:p>
        </w:tc>
        <w:tc>
          <w:tcPr>
            <w:tcW w:type="dxa" w:w="4873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Responsabilités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Incident Manager (RSSI)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Pilotage de l'incident, arbitrages, communication interne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Analyste SOC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Détection, qualification, première réponse 24/7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DFIR Lead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Investigation forensique, collecte de preuves (A.5.28)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Responsable communication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Communication externe (clients, presse) après validation Direction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DPO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Notification CNIL, analyse impact RGPD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Direction juridique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Notifications réglementaires, dépôts de plainte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Direction Générale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Décisions stratégiques (rançon, fermeture activité)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4. Workflow de gestion (NIST SP 800-61r2)</w:t>
      </w:r>
    </w:p>
    <w:p>
      <w:pPr>
        <w:spacing w:line="312" w:lineRule="auto"/>
        <w:jc w:val="both"/>
      </w:pPr>
      <w:r>
        <w:t>Le cycle de gestion comprend 4 phases : 1) Préparation ; 2) Détection et analyse ; 3) Confinement, éradication et récupération ; 4) Activité post-incident.</w:t>
      </w:r>
    </w:p>
    <w:p>
      <w:pPr>
        <w:spacing w:line="312" w:lineRule="auto"/>
        <w:jc w:val="both"/>
      </w:pPr>
      <w:r>
        <w:t>Schéma synthétique : Détection → Qualification (G1-G5) → Confinement → Éradication → Récupération → RETEX &amp; amélioration.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5. Détection et qualification</w:t>
      </w:r>
    </w:p>
    <w:p>
      <w:pPr>
        <w:pStyle w:val="ListNumber"/>
        <w:spacing w:after="40"/>
      </w:pPr>
      <w:r>
        <w:t>Réception de l'alerte (SIEM, EDR, signalement utilisateur, prestataire MSSP, autorité).</w:t>
      </w:r>
    </w:p>
    <w:p>
      <w:pPr>
        <w:pStyle w:val="ListNumber"/>
        <w:spacing w:after="40"/>
      </w:pPr>
      <w:r>
        <w:t>Création d'un ticket dans l'outil ITSM avec horodatage précis.</w:t>
      </w:r>
    </w:p>
    <w:p>
      <w:pPr>
        <w:pStyle w:val="ListNumber"/>
        <w:spacing w:after="40"/>
      </w:pPr>
      <w:r>
        <w:t>Qualification par l'analyste SOC sous 30 minutes (criticité, périmètre, indicateurs).</w:t>
      </w:r>
    </w:p>
    <w:p>
      <w:pPr>
        <w:pStyle w:val="ListNumber"/>
        <w:spacing w:after="40"/>
      </w:pPr>
      <w:r>
        <w:t>Attribution d'un identifiant unique INC-AAAA-NNN.</w:t>
      </w:r>
    </w:p>
    <w:p>
      <w:pPr>
        <w:pStyle w:val="ListNumber"/>
        <w:spacing w:after="40"/>
      </w:pPr>
      <w:r>
        <w:t>Notification des parties prenantes selon le tableau d'escalade.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6. Confinement (Containment)</w:t>
      </w:r>
    </w:p>
    <w:p>
      <w:pPr>
        <w:spacing w:before="240" w:after="80"/>
      </w:pPr>
      <w:r>
        <w:rPr>
          <w:b/>
          <w:color w:val="1F4E79"/>
          <w:sz w:val="26"/>
        </w:rPr>
        <w:t>6.1 Confinement court terme</w:t>
      </w:r>
    </w:p>
    <w:p>
      <w:pPr>
        <w:pStyle w:val="ListBullet"/>
        <w:spacing w:after="40"/>
      </w:pPr>
      <w:r>
        <w:t>Isolation réseau du ou des systèmes compromis (segmentation, EDR network-isolation).</w:t>
      </w:r>
    </w:p>
    <w:p>
      <w:pPr>
        <w:pStyle w:val="ListBullet"/>
        <w:spacing w:after="40"/>
      </w:pPr>
      <w:r>
        <w:t>Désactivation des comptes utilisateurs/admin compromis.</w:t>
      </w:r>
    </w:p>
    <w:p>
      <w:pPr>
        <w:pStyle w:val="ListBullet"/>
        <w:spacing w:after="40"/>
      </w:pPr>
      <w:r>
        <w:t>Rotation des secrets associés (mots de passe, clés API, tokens).</w:t>
      </w:r>
    </w:p>
    <w:p>
      <w:pPr>
        <w:pStyle w:val="ListBullet"/>
        <w:spacing w:after="40"/>
      </w:pPr>
      <w:r>
        <w:t>Préservation des preuves (snapshot, capture mémoire, journaux).</w:t>
      </w:r>
    </w:p>
    <w:p>
      <w:pPr>
        <w:spacing w:before="240" w:after="80"/>
      </w:pPr>
      <w:r>
        <w:rPr>
          <w:b/>
          <w:color w:val="1F4E79"/>
          <w:sz w:val="26"/>
        </w:rPr>
        <w:t>6.2 Confinement long terme</w:t>
      </w:r>
    </w:p>
    <w:p>
      <w:pPr>
        <w:pStyle w:val="ListBullet"/>
        <w:spacing w:after="40"/>
      </w:pPr>
      <w:r>
        <w:t>Mise en place d'un cloisonnement durable (VLAN dédié, ACL renforcée).</w:t>
      </w:r>
    </w:p>
    <w:p>
      <w:pPr>
        <w:pStyle w:val="ListBullet"/>
        <w:spacing w:after="40"/>
      </w:pPr>
      <w:r>
        <w:t>Surveillance accrue des systèmes adjacents (recherche IoC).</w:t>
      </w:r>
    </w:p>
    <w:p>
      <w:pPr>
        <w:pStyle w:val="ListBullet"/>
        <w:spacing w:after="40"/>
      </w:pPr>
      <w:r>
        <w:t>Communication contrôlée avec les utilisateurs impactés.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7. Éradication</w:t>
      </w:r>
    </w:p>
    <w:p>
      <w:pPr>
        <w:pStyle w:val="ListBullet"/>
        <w:spacing w:after="40"/>
      </w:pPr>
      <w:r>
        <w:t>Identification de la cause racine (Root Cause Analysis — méthode 5 Why ou Ishikawa).</w:t>
      </w:r>
    </w:p>
    <w:p>
      <w:pPr>
        <w:pStyle w:val="ListBullet"/>
        <w:spacing w:after="40"/>
      </w:pPr>
      <w:r>
        <w:t>Suppression du vecteur d'attaque (correctif, désactivation service, durcissement).</w:t>
      </w:r>
    </w:p>
    <w:p>
      <w:pPr>
        <w:pStyle w:val="ListBullet"/>
        <w:spacing w:after="40"/>
      </w:pPr>
      <w:r>
        <w:t>Recherche exhaustive d'autres systèmes potentiellement compromis (threat hunting).</w:t>
      </w:r>
    </w:p>
    <w:p>
      <w:pPr>
        <w:pStyle w:val="ListBullet"/>
        <w:spacing w:after="40"/>
      </w:pPr>
      <w:r>
        <w:t>Validation de l'éradication par un test technique (scan, EDR clean).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8. Récupération</w:t>
      </w:r>
    </w:p>
    <w:p>
      <w:pPr>
        <w:pStyle w:val="ListBullet"/>
        <w:spacing w:after="40"/>
      </w:pPr>
      <w:r>
        <w:t>Restauration des systèmes à partir de sauvegardes saines (vérification d'intégrité).</w:t>
      </w:r>
    </w:p>
    <w:p>
      <w:pPr>
        <w:pStyle w:val="ListBullet"/>
        <w:spacing w:after="40"/>
      </w:pPr>
      <w:r>
        <w:t>Validation fonctionnelle avant remise en production.</w:t>
      </w:r>
    </w:p>
    <w:p>
      <w:pPr>
        <w:pStyle w:val="ListBullet"/>
        <w:spacing w:after="40"/>
      </w:pPr>
      <w:r>
        <w:t>Surveillance renforcée pendant 30 jours.</w:t>
      </w:r>
    </w:p>
    <w:p>
      <w:pPr>
        <w:pStyle w:val="ListBullet"/>
        <w:spacing w:after="40"/>
      </w:pPr>
      <w:r>
        <w:t>Communication de fin d'incident aux parties prenantes.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9. Tirer les leçons (RETEX)</w:t>
      </w:r>
    </w:p>
    <w:p>
      <w:pPr>
        <w:spacing w:line="312" w:lineRule="auto"/>
        <w:jc w:val="both"/>
      </w:pPr>
      <w:r>
        <w:t>Conformément au contrôle A.5.27 « Tirer les leçons des incidents de sécurité », une revue post-incident est conduite sous 30 jours après la clôture :</w:t>
      </w:r>
    </w:p>
    <w:p>
      <w:pPr>
        <w:pStyle w:val="ListBullet"/>
        <w:spacing w:after="40"/>
      </w:pPr>
      <w:r>
        <w:t>Chronologie détaillée et reconstitution des faits.</w:t>
      </w:r>
    </w:p>
    <w:p>
      <w:pPr>
        <w:pStyle w:val="ListBullet"/>
        <w:spacing w:after="40"/>
      </w:pPr>
      <w:r>
        <w:t>Analyse des actions menées (succès, écueils, délais).</w:t>
      </w:r>
    </w:p>
    <w:p>
      <w:pPr>
        <w:pStyle w:val="ListBullet"/>
        <w:spacing w:after="40"/>
      </w:pPr>
      <w:r>
        <w:t>Identification des leçons (techniques, organisationnelles, humaines).</w:t>
      </w:r>
    </w:p>
    <w:p>
      <w:pPr>
        <w:pStyle w:val="ListBullet"/>
        <w:spacing w:after="40"/>
      </w:pPr>
      <w:r>
        <w:t>Plan d'amélioration (politiques, procédures, outils, formation).</w:t>
      </w:r>
    </w:p>
    <w:p>
      <w:pPr>
        <w:pStyle w:val="ListBullet"/>
        <w:spacing w:after="40"/>
      </w:pPr>
      <w:r>
        <w:t>Diffusion d'un bulletin RETEX anonymisé à l'ensemble des équipes.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10. Notifications réglementaires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Référentiel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Délai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Destinataire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Cas d'application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RGPD Art. 33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≤ 72 h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CNIL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Violation de données personnelles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RGPD Art. 34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Sans délai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Personnes concernées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Risque élevé pour les droits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NIS 2 / OSE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≤ 24 h initial, 72 h complet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ANSSI/CSIRT national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Incident significatif sur service essentiel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DORA (secteur financier)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≤ 4h détection majeur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ACPR / autorité compétente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Incident TIC majeur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Loi 24 décembre 2022 (cyber-rançon)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≤ 72 h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Procureur République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Paiement de rançon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11. Schéma d'escalade</w:t>
      </w:r>
    </w:p>
    <w:p>
      <w:pPr>
        <w:spacing w:line="312" w:lineRule="auto"/>
        <w:jc w:val="both"/>
      </w:pPr>
      <w:r>
        <w:t>Selon la gravité initiale qualifiée par le SOC 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Gravité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Destinataires immédiats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Réunion crise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G1 — Faible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Manager IT, RSSI (info)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Non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G2 — Mineur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Manager IT, RSSI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Non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G3 — Modéré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RSSI, DSI, métiers concernés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Cellule opérationnelle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G4 — Majeur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+ Direction Générale + DPO + Juridique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CGC sous 2h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G5 — Critique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+ COMEX + Communication + Conseil d'administration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CGC immédiate H24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3213"/>
        </w:tcPr>
        <w:p>
          <w:r>
            <w:rPr>
              <w:color w:val="595959"/>
              <w:sz w:val="16"/>
            </w:rPr>
            <w:t>© Ayinedjimi Consultants — ayinedjimi-consultants.fr</w:t>
          </w:r>
        </w:p>
      </w:tc>
      <w:tc>
        <w:tcPr>
          <w:tcW w:type="dxa" w:w="3213"/>
        </w:tcPr>
        <w:p>
          <w:pPr>
            <w:jc w:val="center"/>
          </w:pPr>
          <w:r>
            <w:rPr>
              <w:color w:val="595959"/>
              <w:sz w:val="16"/>
            </w:rPr>
            <w:t>Document confidentiel — Usage interne</w:t>
          </w:r>
        </w:p>
      </w:tc>
      <w:tc>
        <w:tcPr>
          <w:tcW w:type="dxa" w:w="3213"/>
        </w:tcPr>
        <w:p>
          <w:pPr>
            <w:jc w:val="right"/>
          </w:pPr>
          <w:r>
            <w:rPr>
              <w:color w:val="595959"/>
              <w:sz w:val="16"/>
            </w:rPr>
            <w:t xml:space="preserve">Page </w:t>
            <w:fldSimple w:instr="PAGE \* MERGEFORMAT">
              <w:r>
                <w:t>1</w:t>
              </w:r>
            </w:fldSimple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819"/>
        </w:tcPr>
        <w:p>
          <w:pPr>
            <w:jc w:val="left"/>
          </w:pPr>
          <w:r>
            <w:rPr>
              <w:color w:val="595959"/>
              <w:sz w:val="18"/>
            </w:rPr>
            <w:t>ayinedjimi-consultants.fr</w:t>
          </w:r>
        </w:p>
      </w:tc>
      <w:tc>
        <w:tcPr>
          <w:tcW w:type="dxa" w:w="4819"/>
        </w:tcPr>
        <w:p>
          <w:pPr>
            <w:jc w:val="right"/>
          </w:pPr>
          <w:r>
            <w:rPr>
              <w:color w:val="595959"/>
              <w:sz w:val="18"/>
            </w:rPr>
            <w:t>ISO/IEC 27001:2022 — Template Gratuit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