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9A961"/>
          <w:sz w:val="28"/>
        </w:rPr>
        <w:t>ISO/IEC 27001:2022</w:t>
      </w:r>
    </w:p>
    <w:p>
      <w:pPr>
        <w:spacing w:before="400"/>
        <w:jc w:val="center"/>
      </w:pPr>
      <w:r>
        <w:rPr>
          <w:b/>
          <w:color w:val="1F3A5F"/>
          <w:sz w:val="48"/>
        </w:rPr>
        <w:t>Procédure de gestion documentaire SMSI</w:t>
      </w:r>
    </w:p>
    <w:p>
      <w:pPr>
        <w:jc w:val="center"/>
      </w:pPr>
      <w:r>
        <w:rPr>
          <w:i/>
          <w:color w:val="555555"/>
          <w:sz w:val="26"/>
        </w:rPr>
        <w:t>Cycle de vie de la documentation SMSI — Clause 7.5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4535"/>
      </w:tblGrid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Référence document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PROC-SMSI-DOC-001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Date de publication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15/05/2026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Statut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Modèle — à adapter au contexte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Diffusion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Usage interne — Confidentiel C2</w:t>
            </w:r>
          </w:p>
        </w:tc>
      </w:tr>
    </w:tbl>
    <w:p>
      <w:pPr>
        <w:spacing w:before="600"/>
        <w:jc w:val="both"/>
      </w:pPr>
      <w:r>
        <w:rPr>
          <w:i/>
          <w:color w:val="555555"/>
          <w:sz w:val="18"/>
        </w:rPr>
        <w:t>Ce modèle est fourni gratuitement par ayinedjimi-consultants.fr à des fins pédagogiques et de support à la mise en conformité ISO/IEC 27001:2022. Il doit être adapté au contexte, au périmètre et aux exigences spécifiques de l'organisme utilisateur. La responsabilité de la conformité finale incombe à l'utilisateur. Toute reproduction commerciale est interdite.</w:t>
      </w:r>
    </w:p>
    <w:p>
      <w:r>
        <w:br w:type="page"/>
      </w:r>
    </w:p>
    <w:p>
      <w:pPr>
        <w:spacing w:after="240"/>
      </w:pPr>
      <w:r>
        <w:rPr>
          <w:b/>
          <w:color w:val="1F3A5F"/>
          <w:sz w:val="36"/>
        </w:rPr>
        <w:t>Sommaire</w:t>
      </w:r>
    </w:p>
    <w:p>
      <w:pPr>
        <w:ind w:left="0"/>
      </w:pPr>
      <w:r>
        <w:rPr>
          <w:b/>
          <w:color w:val="1F3A5F"/>
          <w:sz w:val="22"/>
        </w:rPr>
        <w:t>1  Objet et périmètre</w:t>
      </w:r>
    </w:p>
    <w:p>
      <w:pPr>
        <w:ind w:left="0"/>
      </w:pPr>
      <w:r>
        <w:rPr>
          <w:b/>
          <w:color w:val="1F3A5F"/>
          <w:sz w:val="22"/>
        </w:rPr>
        <w:t>2  Références</w:t>
      </w:r>
    </w:p>
    <w:p>
      <w:pPr>
        <w:ind w:left="0"/>
      </w:pPr>
      <w:r>
        <w:rPr>
          <w:b/>
          <w:color w:val="1F3A5F"/>
          <w:sz w:val="22"/>
        </w:rPr>
        <w:t>3  Typologie de la documentation SMSI</w:t>
      </w:r>
    </w:p>
    <w:p>
      <w:pPr>
        <w:ind w:left="0"/>
      </w:pPr>
      <w:r>
        <w:rPr>
          <w:b/>
          <w:color w:val="1F3A5F"/>
          <w:sz w:val="22"/>
        </w:rPr>
        <w:t>4  Cycle de vie du document</w:t>
      </w:r>
    </w:p>
    <w:p>
      <w:pPr>
        <w:ind w:left="283"/>
      </w:pPr>
      <w:r>
        <w:rPr>
          <w:sz w:val="22"/>
        </w:rPr>
        <w:t>4.1  Création et rédaction</w:t>
      </w:r>
    </w:p>
    <w:p>
      <w:pPr>
        <w:ind w:left="283"/>
      </w:pPr>
      <w:r>
        <w:rPr>
          <w:sz w:val="22"/>
        </w:rPr>
        <w:t>4.2  Revue et approbation</w:t>
      </w:r>
    </w:p>
    <w:p>
      <w:pPr>
        <w:ind w:left="283"/>
      </w:pPr>
      <w:r>
        <w:rPr>
          <w:sz w:val="22"/>
        </w:rPr>
        <w:t>4.3  Diffusion et accès</w:t>
      </w:r>
    </w:p>
    <w:p>
      <w:pPr>
        <w:ind w:left="283"/>
      </w:pPr>
      <w:r>
        <w:rPr>
          <w:sz w:val="22"/>
        </w:rPr>
        <w:t>4.4  Utilisation et application</w:t>
      </w:r>
    </w:p>
    <w:p>
      <w:pPr>
        <w:ind w:left="283"/>
      </w:pPr>
      <w:r>
        <w:rPr>
          <w:sz w:val="22"/>
        </w:rPr>
        <w:t>4.5  Mise à jour</w:t>
      </w:r>
    </w:p>
    <w:p>
      <w:pPr>
        <w:ind w:left="283"/>
      </w:pPr>
      <w:r>
        <w:rPr>
          <w:sz w:val="22"/>
        </w:rPr>
        <w:t>4.6  Archivage et destruction</w:t>
      </w:r>
    </w:p>
    <w:p>
      <w:pPr>
        <w:ind w:left="0"/>
      </w:pPr>
      <w:r>
        <w:rPr>
          <w:b/>
          <w:color w:val="1F3A5F"/>
          <w:sz w:val="22"/>
        </w:rPr>
        <w:t>5  Workflow d'approbation</w:t>
      </w:r>
    </w:p>
    <w:p>
      <w:pPr>
        <w:ind w:left="0"/>
      </w:pPr>
      <w:r>
        <w:rPr>
          <w:b/>
          <w:color w:val="1F3A5F"/>
          <w:sz w:val="22"/>
        </w:rPr>
        <w:t>6  Versioning et numérotation</w:t>
      </w:r>
    </w:p>
    <w:p>
      <w:pPr>
        <w:ind w:left="0"/>
      </w:pPr>
      <w:r>
        <w:rPr>
          <w:b/>
          <w:color w:val="1F3A5F"/>
          <w:sz w:val="22"/>
        </w:rPr>
        <w:t>7  Rétention par type de document</w:t>
      </w:r>
    </w:p>
    <w:p>
      <w:pPr>
        <w:ind w:left="0"/>
      </w:pPr>
      <w:r>
        <w:rPr>
          <w:b/>
          <w:color w:val="1F3A5F"/>
          <w:sz w:val="22"/>
        </w:rPr>
        <w:t>8  Sécurité documentaire</w:t>
      </w:r>
    </w:p>
    <w:p>
      <w:pPr>
        <w:ind w:left="0"/>
      </w:pPr>
      <w:r>
        <w:rPr>
          <w:b/>
          <w:color w:val="1F3A5F"/>
          <w:sz w:val="22"/>
        </w:rPr>
        <w:t>9  Outils et plateforme</w:t>
      </w:r>
    </w:p>
    <w:p>
      <w:pPr>
        <w:ind w:left="0"/>
      </w:pPr>
      <w:r>
        <w:rPr>
          <w:b/>
          <w:color w:val="1F3A5F"/>
          <w:sz w:val="22"/>
        </w:rPr>
        <w:t>10  Indicateurs et reporting</w:t>
      </w:r>
    </w:p>
    <w:p>
      <w:pPr>
        <w:ind w:left="0"/>
      </w:pPr>
      <w:r>
        <w:rPr>
          <w:b/>
          <w:color w:val="1F3A5F"/>
          <w:sz w:val="22"/>
        </w:rPr>
        <w:t>11  Rôles et responsabilités</w:t>
      </w:r>
    </w:p>
    <w:p>
      <w:pPr>
        <w:ind w:left="0"/>
      </w:pPr>
      <w:r>
        <w:rPr>
          <w:b/>
          <w:color w:val="1F3A5F"/>
          <w:sz w:val="22"/>
        </w:rPr>
        <w:t>12  Revue et amélioration</w:t>
      </w:r>
    </w:p>
    <w:p>
      <w:pPr>
        <w:ind w:left="0"/>
      </w:pPr>
      <w:r>
        <w:rPr>
          <w:b/>
          <w:color w:val="1F3A5F"/>
          <w:sz w:val="22"/>
        </w:rPr>
        <w:t>13  Validation et signatures</w:t>
      </w:r>
    </w:p>
    <w:p>
      <w:r>
        <w:br w:type="page"/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  Objet et périmètre</w:t>
      </w:r>
    </w:p>
    <w:p>
      <w:pPr>
        <w:jc w:val="both"/>
      </w:pPr>
      <w:r>
        <w:rPr>
          <w:b w:val="0"/>
          <w:i w:val="0"/>
          <w:sz w:val="22"/>
        </w:rPr>
        <w:t>La présente procédure définit les modalités de création, validation, diffusion, mise à jour, archivage et destruction des informations documentées du SMSI, conformément aux exigences de la clause 7.5 de la norme ISO/IEC 27001:2022. Elle s'applique à l'ensemble des documents internes du SMSI ainsi qu'aux enregistrements de preuve de fonctionnement du SMSI.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2  Références</w:t>
      </w:r>
    </w:p>
    <w:p>
      <w:pPr>
        <w:pStyle w:val="ListBullet"/>
        <w:ind w:left="283"/>
      </w:pPr>
      <w:r/>
      <w:r>
        <w:rPr>
          <w:sz w:val="22"/>
        </w:rPr>
        <w:t>ISO/IEC 27001:2022 — Clause 7.5 (Information documentée)</w:t>
      </w:r>
    </w:p>
    <w:p>
      <w:pPr>
        <w:pStyle w:val="ListBullet"/>
        <w:ind w:left="283"/>
      </w:pPr>
      <w:r/>
      <w:r>
        <w:rPr>
          <w:sz w:val="22"/>
        </w:rPr>
        <w:t>ISO/IEC 27002:2022 — Mesure 5.33 (Protection des enregistrements)</w:t>
      </w:r>
    </w:p>
    <w:p>
      <w:pPr>
        <w:pStyle w:val="ListBullet"/>
        <w:ind w:left="283"/>
      </w:pPr>
      <w:r/>
      <w:r>
        <w:rPr>
          <w:sz w:val="22"/>
        </w:rPr>
        <w:t>ISO 30300 — Management des documents d'activité</w:t>
      </w:r>
    </w:p>
    <w:p>
      <w:pPr>
        <w:pStyle w:val="ListBullet"/>
        <w:ind w:left="283"/>
      </w:pPr>
      <w:r/>
      <w:r>
        <w:rPr>
          <w:sz w:val="22"/>
        </w:rPr>
        <w:t>Politique de classification (réf. POL-SMSI-CLA-001)</w:t>
      </w:r>
    </w:p>
    <w:p>
      <w:pPr>
        <w:pStyle w:val="ListBullet"/>
        <w:ind w:left="283"/>
      </w:pPr>
      <w:r/>
      <w:r>
        <w:rPr>
          <w:sz w:val="22"/>
        </w:rPr>
        <w:t>Politique de sauvegarde (réf. POL-SMSI-BCK-001)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3  Typologie de la documentation SMSI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170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2268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83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Exemples</w:t>
            </w:r>
          </w:p>
        </w:tc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Sensibilité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Politique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Engagement, principes, exigences niveau Direction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Politique SMSI, classification, BCM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C1</w:t>
            </w:r>
          </w:p>
        </w:tc>
      </w:tr>
      <w:tr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Procédure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Modalités opérationnelles d'exécution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Gestion incidents, RCA, JML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C2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Mode opératoire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Étape-par-étape pour une tâche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Restaurer un backup, configurer un firewall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C2</w:t>
            </w:r>
          </w:p>
        </w:tc>
      </w:tr>
      <w:tr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Standard / norme interne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Référentiel technique normatif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Standard mot de passe, configuration durcie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C2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Charte / règlement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Engagement utilisateur opposable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Charte SI, charte mobilité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C1</w:t>
            </w:r>
          </w:p>
        </w:tc>
      </w:tr>
      <w:tr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Plan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Plan d'action ou stratégie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Plan d'audit, PCA, plan de comm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C2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Modèle / template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Document type à compléter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Modèle de PIA, modèle d'incident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C1</w:t>
            </w:r>
          </w:p>
        </w:tc>
      </w:tr>
      <w:tr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Enregistrement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Preuve de fonctionnement (record)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PV revue, rapport audit, logs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C2 - C3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Registre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Liste structurée tenue à jour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Registre risques, NC, exigences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C2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4  Cycle de vie du document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4.1  Création et rédaction</w:t>
      </w:r>
    </w:p>
    <w:p>
      <w:pPr>
        <w:pStyle w:val="ListBullet"/>
        <w:ind w:left="283"/>
      </w:pPr>
      <w:r/>
      <w:r>
        <w:rPr>
          <w:sz w:val="22"/>
        </w:rPr>
        <w:t>Demande de création via formulaire ITSM / ticket dédié</w:t>
      </w:r>
    </w:p>
    <w:p>
      <w:pPr>
        <w:pStyle w:val="ListBullet"/>
        <w:ind w:left="283"/>
      </w:pPr>
      <w:r/>
      <w:r>
        <w:rPr>
          <w:sz w:val="22"/>
        </w:rPr>
        <w:t>Attribution d'un identifiant unique (référence DOC) par le pilote SMSI</w:t>
      </w:r>
    </w:p>
    <w:p>
      <w:pPr>
        <w:pStyle w:val="ListBullet"/>
        <w:ind w:left="283"/>
      </w:pPr>
      <w:r/>
      <w:r>
        <w:rPr>
          <w:sz w:val="22"/>
        </w:rPr>
        <w:t>Utilisation du gabarit officiel (template Word/Markdown) — pas de format propriétaire fermé</w:t>
      </w:r>
    </w:p>
    <w:p>
      <w:pPr>
        <w:pStyle w:val="ListBullet"/>
        <w:ind w:left="283"/>
      </w:pPr>
      <w:r/>
      <w:r>
        <w:rPr>
          <w:sz w:val="22"/>
        </w:rPr>
        <w:t>Rédaction par un contributeur compétent + co-relecture par un pair</w:t>
      </w:r>
    </w:p>
    <w:p>
      <w:pPr>
        <w:pStyle w:val="ListBullet"/>
        <w:ind w:left="283"/>
      </w:pPr>
      <w:r/>
      <w:r>
        <w:rPr>
          <w:sz w:val="22"/>
        </w:rPr>
        <w:t>Indication explicite de la version brouillon (v0.x DRAFT)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4.2  Revue et approbation</w:t>
      </w:r>
    </w:p>
    <w:p>
      <w:pPr>
        <w:pStyle w:val="ListBullet"/>
        <w:ind w:left="283"/>
      </w:pPr>
      <w:r/>
      <w:r>
        <w:rPr>
          <w:sz w:val="22"/>
        </w:rPr>
        <w:t>Revue technique par le RSSI (ou délégué)</w:t>
      </w:r>
    </w:p>
    <w:p>
      <w:pPr>
        <w:pStyle w:val="ListBullet"/>
        <w:ind w:left="283"/>
      </w:pPr>
      <w:r/>
      <w:r>
        <w:rPr>
          <w:sz w:val="22"/>
        </w:rPr>
        <w:t>Revue juridique pour documents impliquant droit du travail, RGPD, contrats</w:t>
      </w:r>
    </w:p>
    <w:p>
      <w:pPr>
        <w:pStyle w:val="ListBullet"/>
        <w:ind w:left="283"/>
      </w:pPr>
      <w:r/>
      <w:r>
        <w:rPr>
          <w:sz w:val="22"/>
        </w:rPr>
        <w:t>Validation par le Comité Sécurité ou la Direction selon nature</w:t>
      </w:r>
    </w:p>
    <w:p>
      <w:pPr>
        <w:pStyle w:val="ListBullet"/>
        <w:ind w:left="283"/>
      </w:pPr>
      <w:r/>
      <w:r>
        <w:rPr>
          <w:sz w:val="22"/>
        </w:rPr>
        <w:t>Workflow de validation tracé (4-eyes principle minimum, signature électronique)</w:t>
      </w:r>
    </w:p>
    <w:p>
      <w:pPr>
        <w:pStyle w:val="ListBullet"/>
        <w:ind w:left="283"/>
      </w:pPr>
      <w:r/>
      <w:r>
        <w:rPr>
          <w:sz w:val="22"/>
        </w:rPr>
        <w:t>Une fois approuvé, passage en version officielle (v1.0 ou +)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4.3  Diffusion et accès</w:t>
      </w:r>
    </w:p>
    <w:p>
      <w:pPr>
        <w:pStyle w:val="ListBullet"/>
        <w:ind w:left="283"/>
      </w:pPr>
      <w:r/>
      <w:r>
        <w:rPr>
          <w:sz w:val="22"/>
        </w:rPr>
        <w:t>Publication sur la plateforme GED SMSI (SharePoint, Confluence, GitLab Wiki…)</w:t>
      </w:r>
    </w:p>
    <w:p>
      <w:pPr>
        <w:pStyle w:val="ListBullet"/>
        <w:ind w:left="283"/>
      </w:pPr>
      <w:r/>
      <w:r>
        <w:rPr>
          <w:sz w:val="22"/>
        </w:rPr>
        <w:t>Accès basé sur RBAC, conformément à la classification</w:t>
      </w:r>
    </w:p>
    <w:p>
      <w:pPr>
        <w:pStyle w:val="ListBullet"/>
        <w:ind w:left="283"/>
      </w:pPr>
      <w:r/>
      <w:r>
        <w:rPr>
          <w:sz w:val="22"/>
        </w:rPr>
        <w:t>Communication ciblée aux parties concernées (email, news, brief manager)</w:t>
      </w:r>
    </w:p>
    <w:p>
      <w:pPr>
        <w:pStyle w:val="ListBullet"/>
        <w:ind w:left="283"/>
      </w:pPr>
      <w:r/>
      <w:r>
        <w:rPr>
          <w:sz w:val="22"/>
        </w:rPr>
        <w:t>Documents pour utilisateurs finaux : disponibilité 24/7 sur intranet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4.4  Utilisation et application</w:t>
      </w:r>
    </w:p>
    <w:p>
      <w:pPr>
        <w:pStyle w:val="ListBullet"/>
        <w:ind w:left="283"/>
      </w:pPr>
      <w:r/>
      <w:r>
        <w:rPr>
          <w:sz w:val="22"/>
        </w:rPr>
        <w:t>Le document fait foi tant qu'il est marqué Officiel et en vigueur</w:t>
      </w:r>
    </w:p>
    <w:p>
      <w:pPr>
        <w:pStyle w:val="ListBullet"/>
        <w:ind w:left="283"/>
      </w:pPr>
      <w:r/>
      <w:r>
        <w:rPr>
          <w:sz w:val="22"/>
        </w:rPr>
        <w:t>Les écarts à la procédure sont gérés via dérogation formelle (registre dérogations)</w:t>
      </w:r>
    </w:p>
    <w:p>
      <w:pPr>
        <w:pStyle w:val="ListBullet"/>
        <w:ind w:left="283"/>
      </w:pPr>
      <w:r/>
      <w:r>
        <w:rPr>
          <w:sz w:val="22"/>
        </w:rPr>
        <w:t>Feedback utilisateurs collecté en continu pour amélioration</w:t>
      </w:r>
    </w:p>
    <w:p>
      <w:pPr>
        <w:pStyle w:val="ListBullet"/>
        <w:ind w:left="283"/>
      </w:pPr>
      <w:r/>
      <w:r>
        <w:rPr>
          <w:sz w:val="22"/>
        </w:rPr>
        <w:t>Formation et sensibilisation des acteurs clés lors de la diffusion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4.5  Mise à jour</w:t>
      </w:r>
    </w:p>
    <w:p>
      <w:pPr>
        <w:pStyle w:val="ListBullet"/>
        <w:ind w:left="283"/>
      </w:pPr>
      <w:r/>
      <w:r>
        <w:rPr>
          <w:sz w:val="22"/>
        </w:rPr>
        <w:t>Revue planifiée minimum annuelle ; revue ponctuelle après évolution majeure</w:t>
      </w:r>
    </w:p>
    <w:p>
      <w:pPr>
        <w:pStyle w:val="ListBullet"/>
        <w:ind w:left="283"/>
      </w:pPr>
      <w:r/>
      <w:r>
        <w:rPr>
          <w:sz w:val="22"/>
        </w:rPr>
        <w:t>Modification mineure : v1.1, v1.2… (typo, mise à jour références)</w:t>
      </w:r>
    </w:p>
    <w:p>
      <w:pPr>
        <w:pStyle w:val="ListBullet"/>
        <w:ind w:left="283"/>
      </w:pPr>
      <w:r/>
      <w:r>
        <w:rPr>
          <w:sz w:val="22"/>
        </w:rPr>
        <w:t>Modification majeure : v2.0 (changement de portée, nouvelle exigence)</w:t>
      </w:r>
    </w:p>
    <w:p>
      <w:pPr>
        <w:pStyle w:val="ListBullet"/>
        <w:ind w:left="283"/>
      </w:pPr>
      <w:r/>
      <w:r>
        <w:rPr>
          <w:sz w:val="22"/>
        </w:rPr>
        <w:t>Workflow d'approbation systématique pour toute nouvelle version officielle</w:t>
      </w:r>
    </w:p>
    <w:p>
      <w:pPr>
        <w:pStyle w:val="ListBullet"/>
        <w:ind w:left="283"/>
      </w:pPr>
      <w:r/>
      <w:r>
        <w:rPr>
          <w:sz w:val="22"/>
        </w:rPr>
        <w:t>Conservation de l'historique complet (toutes versions accessibles en archive)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4.6  Archivage et destruction</w:t>
      </w:r>
    </w:p>
    <w:p>
      <w:pPr>
        <w:pStyle w:val="ListBullet"/>
        <w:ind w:left="283"/>
      </w:pPr>
      <w:r/>
      <w:r>
        <w:rPr>
          <w:sz w:val="22"/>
        </w:rPr>
        <w:t>Document obsolète marqué OBSOLÈTE (watermark) et déplacé en archive</w:t>
      </w:r>
    </w:p>
    <w:p>
      <w:pPr>
        <w:pStyle w:val="ListBullet"/>
        <w:ind w:left="283"/>
      </w:pPr>
      <w:r/>
      <w:r>
        <w:rPr>
          <w:sz w:val="22"/>
        </w:rPr>
        <w:t>Durée de conservation selon nature et exigences légales (cf. §7)</w:t>
      </w:r>
    </w:p>
    <w:p>
      <w:pPr>
        <w:pStyle w:val="ListBullet"/>
        <w:ind w:left="283"/>
      </w:pPr>
      <w:r/>
      <w:r>
        <w:rPr>
          <w:sz w:val="22"/>
        </w:rPr>
        <w:t>Destruction à l'issue de la rétention : suppression numérique sécurisée + certificat</w:t>
      </w:r>
    </w:p>
    <w:p>
      <w:pPr>
        <w:pStyle w:val="ListBullet"/>
        <w:ind w:left="283"/>
      </w:pPr>
      <w:r/>
      <w:r>
        <w:rPr>
          <w:sz w:val="22"/>
        </w:rPr>
        <w:t>Documents papier : broyeur P-5 minimum, certificat de destruction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5  Workflow d'approbation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850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Étape</w:t>
            </w:r>
          </w:p>
        </w:tc>
        <w:tc>
          <w:tcPr>
            <w:tcW w:type="dxa" w:w="198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Acteur</w:t>
            </w:r>
          </w:p>
        </w:tc>
        <w:tc>
          <w:tcPr>
            <w:tcW w:type="dxa" w:w="3402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2268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Délai cible</w:t>
            </w:r>
          </w:p>
        </w:tc>
      </w:tr>
      <w:tr>
        <w:tc>
          <w:tcPr>
            <w:tcW w:type="dxa" w:w="85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Contributeur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Rédaction v0.x DRAFT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Selon planning projet</w:t>
            </w:r>
          </w:p>
        </w:tc>
      </w:tr>
      <w:tr>
        <w:tc>
          <w:tcPr>
            <w:tcW w:type="dxa" w:w="850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2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Pair / Expert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Relecture technique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5 jours ouvrés</w:t>
            </w:r>
          </w:p>
        </w:tc>
      </w:tr>
      <w:tr>
        <w:tc>
          <w:tcPr>
            <w:tcW w:type="dxa" w:w="85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3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(ou délégué)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Revue conformité SMSI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5 jours ouvrés</w:t>
            </w:r>
          </w:p>
        </w:tc>
      </w:tr>
      <w:tr>
        <w:tc>
          <w:tcPr>
            <w:tcW w:type="dxa" w:w="850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4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Juridique / DPO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Revue juridique (si applicable)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5 jours ouvrés</w:t>
            </w:r>
          </w:p>
        </w:tc>
      </w:tr>
      <w:tr>
        <w:tc>
          <w:tcPr>
            <w:tcW w:type="dxa" w:w="85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5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Comité Sécurité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Validation collégiale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Réunion mensuelle</w:t>
            </w:r>
          </w:p>
        </w:tc>
      </w:tr>
      <w:tr>
        <w:tc>
          <w:tcPr>
            <w:tcW w:type="dxa" w:w="850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6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Approbation finale (politique)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Selon ordre du jour COMEX</w:t>
            </w:r>
          </w:p>
        </w:tc>
      </w:tr>
      <w:tr>
        <w:tc>
          <w:tcPr>
            <w:tcW w:type="dxa" w:w="85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7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Pilote SMSI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Publication officielle + diffusion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2 jours ouvrés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6  Versioning et numérotation</w:t>
      </w:r>
    </w:p>
    <w:p>
      <w:pPr>
        <w:pStyle w:val="ListBullet"/>
        <w:ind w:left="283"/>
      </w:pPr>
      <w:r/>
      <w:r>
        <w:rPr>
          <w:sz w:val="22"/>
        </w:rPr>
        <w:t>Identifiant : [Type]-[Domaine]-[Numéro] — Ex : POL-SMSI-CRY-001</w:t>
      </w:r>
    </w:p>
    <w:p>
      <w:pPr>
        <w:pStyle w:val="ListBullet"/>
        <w:ind w:left="283"/>
      </w:pPr>
      <w:r/>
      <w:r>
        <w:rPr>
          <w:sz w:val="22"/>
        </w:rPr>
        <w:t>Version : majeure.mineure — v1.0, v1.1, v2.0</w:t>
      </w:r>
    </w:p>
    <w:p>
      <w:pPr>
        <w:pStyle w:val="ListBullet"/>
        <w:ind w:left="283"/>
      </w:pPr>
      <w:r/>
      <w:r>
        <w:rPr>
          <w:sz w:val="22"/>
        </w:rPr>
        <w:t>Statut : DRAFT, RELEASED, OBSOLETE</w:t>
      </w:r>
    </w:p>
    <w:p>
      <w:pPr>
        <w:pStyle w:val="ListBullet"/>
        <w:ind w:left="283"/>
      </w:pPr>
      <w:r/>
      <w:r>
        <w:rPr>
          <w:sz w:val="22"/>
        </w:rPr>
        <w:t>Tableau de versions en première page du document indiquant historique des modifications</w:t>
      </w:r>
    </w:p>
    <w:p>
      <w:pPr>
        <w:pStyle w:val="ListBullet"/>
        <w:ind w:left="283"/>
      </w:pPr>
      <w:r/>
      <w:r>
        <w:rPr>
          <w:sz w:val="22"/>
        </w:rPr>
        <w:t>Date de publication, date de dernière revue, date de prochaine revue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7  Rétention par type de document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255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3402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Durée minimale de conservation</w:t>
            </w:r>
          </w:p>
        </w:tc>
        <w:tc>
          <w:tcPr>
            <w:tcW w:type="dxa" w:w="2268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Base</w:t>
            </w:r>
          </w:p>
        </w:tc>
      </w:tr>
      <w:tr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Politique SMSI / Charte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Durée vie + 5 ans (cycle certification)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ISO 27001</w:t>
            </w:r>
          </w:p>
        </w:tc>
      </w:tr>
      <w:tr>
        <w:tc>
          <w:tcPr>
            <w:tcW w:type="dxa" w:w="255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Procédure / Mode opératoire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Durée vie + 3 ans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ISO 27001</w:t>
            </w:r>
          </w:p>
        </w:tc>
      </w:tr>
      <w:tr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PV revue de direction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5 ans minimum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ISO 27001 + audit</w:t>
            </w:r>
          </w:p>
        </w:tc>
      </w:tr>
      <w:tr>
        <w:tc>
          <w:tcPr>
            <w:tcW w:type="dxa" w:w="255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Rapports audit interne / externe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5 ans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ISO 27001 + audit</w:t>
            </w:r>
          </w:p>
        </w:tc>
      </w:tr>
      <w:tr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Registre des risques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Durée vie + 3 ans après mise à jour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ISO 27001</w:t>
            </w:r>
          </w:p>
        </w:tc>
      </w:tr>
      <w:tr>
        <w:tc>
          <w:tcPr>
            <w:tcW w:type="dxa" w:w="255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Registre incidents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5 ans minimum (NIS 2 : 5 ans)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ISO 27001 + NIS 2</w:t>
            </w:r>
          </w:p>
        </w:tc>
      </w:tr>
      <w:tr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Registre RGPD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Tant que traitement actif + 3 ans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RGPD art. 30</w:t>
            </w:r>
          </w:p>
        </w:tc>
      </w:tr>
      <w:tr>
        <w:tc>
          <w:tcPr>
            <w:tcW w:type="dxa" w:w="255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Logs SIEM (preuve)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 an minimum, 7 ans pour PAM/admin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Cf. POL logging</w:t>
            </w:r>
          </w:p>
        </w:tc>
      </w:tr>
      <w:tr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Contrats fournisseurs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Durée + 5 ans après terme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Code commerce + RGPD</w:t>
            </w:r>
          </w:p>
        </w:tc>
      </w:tr>
      <w:tr>
        <w:tc>
          <w:tcPr>
            <w:tcW w:type="dxa" w:w="255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Dossiers RH (JML)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5 ans après fin contrat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Code travail + URSSAF</w:t>
            </w:r>
          </w:p>
        </w:tc>
      </w:tr>
      <w:tr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Sauvegardes documentaires GED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 an glissant minimum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ISO 27001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8  Sécurité documentaire</w:t>
      </w:r>
    </w:p>
    <w:p>
      <w:pPr>
        <w:pStyle w:val="ListBullet"/>
        <w:ind w:left="283"/>
      </w:pPr>
      <w:r/>
      <w:r>
        <w:rPr>
          <w:sz w:val="22"/>
        </w:rPr>
        <w:t>Classification systématique des documents selon politique CLA-001</w:t>
      </w:r>
    </w:p>
    <w:p>
      <w:pPr>
        <w:pStyle w:val="ListBullet"/>
        <w:ind w:left="283"/>
      </w:pPr>
      <w:r/>
      <w:r>
        <w:rPr>
          <w:sz w:val="22"/>
        </w:rPr>
        <w:t>Stockage chiffré sur la GED, accès via SSO + MFA</w:t>
      </w:r>
    </w:p>
    <w:p>
      <w:pPr>
        <w:pStyle w:val="ListBullet"/>
        <w:ind w:left="283"/>
      </w:pPr>
      <w:r/>
      <w:r>
        <w:rPr>
          <w:sz w:val="22"/>
        </w:rPr>
        <w:t>Étiquetage automatique (Microsoft Purview labels / équivalent)</w:t>
      </w:r>
    </w:p>
    <w:p>
      <w:pPr>
        <w:pStyle w:val="ListBullet"/>
        <w:ind w:left="283"/>
      </w:pPr>
      <w:r/>
      <w:r>
        <w:rPr>
          <w:sz w:val="22"/>
        </w:rPr>
        <w:t>Application DLP sur partage externe selon classification (cf. POL DLP)</w:t>
      </w:r>
    </w:p>
    <w:p>
      <w:pPr>
        <w:pStyle w:val="ListBullet"/>
        <w:ind w:left="283"/>
      </w:pPr>
      <w:r/>
      <w:r>
        <w:rPr>
          <w:sz w:val="22"/>
        </w:rPr>
        <w:t>Watermarking dynamique pour documents C2+ téléchargés</w:t>
      </w:r>
    </w:p>
    <w:p>
      <w:pPr>
        <w:pStyle w:val="ListBullet"/>
        <w:ind w:left="283"/>
      </w:pPr>
      <w:r/>
      <w:r>
        <w:rPr>
          <w:sz w:val="22"/>
        </w:rPr>
        <w:t>Conservation des logs d'accès (qui a consulté / téléchargé / modifié)</w:t>
      </w:r>
    </w:p>
    <w:p>
      <w:pPr>
        <w:pStyle w:val="ListBullet"/>
        <w:ind w:left="283"/>
      </w:pPr>
      <w:r/>
      <w:r>
        <w:rPr>
          <w:sz w:val="22"/>
        </w:rPr>
        <w:t>Sauvegarde de la GED selon politique sauvegarde (3-2-1-1-0)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9  Outils et plateforme</w:t>
      </w:r>
    </w:p>
    <w:p>
      <w:pPr>
        <w:pStyle w:val="ListBullet"/>
        <w:ind w:left="283"/>
      </w:pPr>
      <w:r/>
      <w:r>
        <w:rPr>
          <w:sz w:val="22"/>
        </w:rPr>
        <w:t>GED principale : [SharePoint Online / Confluence / Alfresco / Nextcloud]</w:t>
      </w:r>
    </w:p>
    <w:p>
      <w:pPr>
        <w:pStyle w:val="ListBullet"/>
        <w:ind w:left="283"/>
      </w:pPr>
      <w:r/>
      <w:r>
        <w:rPr>
          <w:sz w:val="22"/>
        </w:rPr>
        <w:t>Versioning : intégré GED ou Git pour documents techniques (Markdown)</w:t>
      </w:r>
    </w:p>
    <w:p>
      <w:pPr>
        <w:pStyle w:val="ListBullet"/>
        <w:ind w:left="283"/>
      </w:pPr>
      <w:r/>
      <w:r>
        <w:rPr>
          <w:sz w:val="22"/>
        </w:rPr>
        <w:t>Signature électronique : DocuSign / Yousign / certificat qualifié eIDAS</w:t>
      </w:r>
    </w:p>
    <w:p>
      <w:pPr>
        <w:pStyle w:val="ListBullet"/>
        <w:ind w:left="283"/>
      </w:pPr>
      <w:r/>
      <w:r>
        <w:rPr>
          <w:sz w:val="22"/>
        </w:rPr>
        <w:t>Workflow approbation : intégré GED ou outil dédié (Camunda, Power Automate)</w:t>
      </w:r>
    </w:p>
    <w:p>
      <w:pPr>
        <w:pStyle w:val="ListBullet"/>
        <w:ind w:left="283"/>
      </w:pPr>
      <w:r/>
      <w:r>
        <w:rPr>
          <w:sz w:val="22"/>
        </w:rPr>
        <w:t>Étiquetage et classification : Microsoft Purview Information Protection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10  Indicateurs et reporting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5669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Indicateur</w:t>
            </w:r>
          </w:p>
        </w:tc>
        <w:tc>
          <w:tcPr>
            <w:tcW w:type="dxa" w:w="283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Cible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% documents SMSI en version officielle (non DRAFT)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95%</w:t>
            </w:r>
          </w:p>
        </w:tc>
      </w:tr>
      <w:tr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% documents revus dans les 12 derniers mois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90%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Documents en attente d'approbation &gt; 30 jours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0</w:t>
            </w:r>
          </w:p>
        </w:tc>
      </w:tr>
      <w:tr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Documents obsolètes encore en circulation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0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Classification appliquée à tous les documents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100%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11  Rôles et responsabilités</w:t>
      </w:r>
    </w:p>
    <w:p>
      <w:pPr>
        <w:pStyle w:val="ListBullet"/>
        <w:ind w:left="283"/>
      </w:pPr>
      <w:r/>
      <w:r>
        <w:rPr>
          <w:sz w:val="22"/>
        </w:rPr>
        <w:t>Pilote SMSI : maintient le référentiel documentaire, attribue les identifiants</w:t>
      </w:r>
    </w:p>
    <w:p>
      <w:pPr>
        <w:pStyle w:val="ListBullet"/>
        <w:ind w:left="283"/>
      </w:pPr>
      <w:r/>
      <w:r>
        <w:rPr>
          <w:sz w:val="22"/>
        </w:rPr>
        <w:t>RSSI : valide la conformité technique des documents</w:t>
      </w:r>
    </w:p>
    <w:p>
      <w:pPr>
        <w:pStyle w:val="ListBullet"/>
        <w:ind w:left="283"/>
      </w:pPr>
      <w:r/>
      <w:r>
        <w:rPr>
          <w:sz w:val="22"/>
        </w:rPr>
        <w:t>Owner de document : responsable du contenu et de sa mise à jour</w:t>
      </w:r>
    </w:p>
    <w:p>
      <w:pPr>
        <w:pStyle w:val="ListBullet"/>
        <w:ind w:left="283"/>
      </w:pPr>
      <w:r/>
      <w:r>
        <w:rPr>
          <w:sz w:val="22"/>
        </w:rPr>
        <w:t>Direction : approuve les politiques de niveau stratégique</w:t>
      </w:r>
    </w:p>
    <w:p>
      <w:pPr>
        <w:pStyle w:val="ListBullet"/>
        <w:ind w:left="283"/>
      </w:pPr>
      <w:r/>
      <w:r>
        <w:rPr>
          <w:sz w:val="22"/>
        </w:rPr>
        <w:t>Auditeur interne : vérifie l'application en audit</w:t>
      </w:r>
    </w:p>
    <w:p>
      <w:pPr>
        <w:pStyle w:val="ListBullet"/>
        <w:ind w:left="283"/>
      </w:pPr>
      <w:r/>
      <w:r>
        <w:rPr>
          <w:sz w:val="22"/>
        </w:rPr>
        <w:t>Utilisateurs : appliquent les documents, signalent les écarts ou besoins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12  Revue et amélioration</w:t>
      </w:r>
    </w:p>
    <w:p>
      <w:pPr>
        <w:pStyle w:val="ListBullet"/>
        <w:ind w:left="283"/>
      </w:pPr>
      <w:r/>
      <w:r>
        <w:rPr>
          <w:sz w:val="22"/>
        </w:rPr>
        <w:t>Revue annuelle de la procédure en revue de direction</w:t>
      </w:r>
    </w:p>
    <w:p>
      <w:pPr>
        <w:pStyle w:val="ListBullet"/>
        <w:ind w:left="283"/>
      </w:pPr>
      <w:r/>
      <w:r>
        <w:rPr>
          <w:sz w:val="22"/>
        </w:rPr>
        <w:t>Audit annuel du référentiel documentaire (complétude, fraîcheur, application)</w:t>
      </w:r>
    </w:p>
    <w:p>
      <w:pPr>
        <w:pStyle w:val="ListBullet"/>
        <w:ind w:left="283"/>
      </w:pPr>
      <w:r/>
      <w:r>
        <w:rPr>
          <w:sz w:val="22"/>
        </w:rPr>
        <w:t>Sondage utilisateurs sur la qualité documentaire (clarté, utilité)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13  Validation et signatures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—  Signatures et approbation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Rédigé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Vérifié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Approuvé par</w:t>
            </w:r>
          </w:p>
        </w:tc>
      </w:tr>
      <w:tr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/ Pilote SMSI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Comité sécurité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 générale</w:t>
              <w:br/>
              <w:t>Nom : ____________________</w:t>
              <w:br/>
              <w:t>Date : ____________________</w:t>
              <w:br/>
              <w:t>Signature :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134" w:bottom="124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555"/>
        <w:sz w:val="18"/>
      </w:rPr>
      <w:t xml:space="preserve">Procédure de gestion documentaire SMSI — ISO/IEC 27001:2022 — Clause 7.5  |  Page </w:t>
    </w:r>
    <w:r>
      <w:fldChar w:fldCharType="begin"/>
      <w:instrText>PAGE</w:instrText>
      <w:fldChar w:fldCharType="end"/>
    </w:r>
    <w:r>
      <w:rPr>
        <w:color w:val="555555"/>
        <w:sz w:val="18"/>
      </w:rPr>
      <w:t xml:space="preserve"> / </w:t>
    </w:r>
    <w:r>
      <w:fldChar w:fldCharType="begin"/>
      <w:instrText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b/>
        <w:color w:val="1F3A5F"/>
        <w:sz w:val="18"/>
      </w:rPr>
      <w:t>ayinedjimi-consultants.fr</w:t>
    </w:r>
    <w:r>
      <w:rPr>
        <w:i/>
        <w:color w:val="555555"/>
        <w:sz w:val="18"/>
      </w:rPr>
      <w:t xml:space="preserve">  |  ISO/IEC 27001:2022 — Template Gratuit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