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1F4E79"/>
          <w:sz w:val="22"/>
        </w:rPr>
        <w:t>ISO/IEC 27001:2022 — TEMPLATE GRATUIT</w:t>
      </w:r>
    </w:p>
    <w:p>
      <w:pPr>
        <w:spacing w:before="400"/>
        <w:jc w:val="center"/>
      </w:pPr>
      <w:r>
        <w:rPr>
          <w:b/>
          <w:color w:val="0B2545"/>
          <w:sz w:val="52"/>
        </w:rPr>
        <w:t>Procédure de gestion des changements</w:t>
      </w:r>
    </w:p>
    <w:p>
      <w:pPr>
        <w:jc w:val="center"/>
      </w:pPr>
      <w:r>
        <w:rPr>
          <w:i/>
          <w:color w:val="595959"/>
          <w:sz w:val="26"/>
        </w:rPr>
        <w:t>Conforme ISO/IEC 27001:2022 — A.8.32 / ITIL 4 / Clause 6.3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3969"/>
          </w:tcPr>
          <w:p>
            <w:r>
              <w:t>TPL-ISO27001-XXXX-v1.0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969"/>
          </w:tcPr>
          <w:p>
            <w:r>
              <w:t>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Date d'émission</w:t>
            </w:r>
          </w:p>
        </w:tc>
        <w:tc>
          <w:tcPr>
            <w:tcW w:type="dxa" w:w="3969"/>
          </w:tcPr>
          <w:p>
            <w:r>
              <w:t>—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Approuvé par</w:t>
            </w:r>
          </w:p>
        </w:tc>
        <w:tc>
          <w:tcPr>
            <w:tcW w:type="dxa" w:w="3969"/>
          </w:tcPr>
          <w:p>
            <w:r>
              <w:t>Direction Générale / RSSI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3969"/>
          </w:tcPr>
          <w:p>
            <w:r>
              <w:t>Interne</w:t>
            </w:r>
          </w:p>
        </w:tc>
      </w:tr>
    </w:tbl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Sommaire</w:t>
      </w:r>
    </w:p>
    <w:p>
      <w:pPr>
        <w:spacing w:after="60"/>
      </w:pPr>
      <w:r>
        <w:rPr>
          <w:sz w:val="22"/>
        </w:rPr>
        <w:t>1. Objet et portée</w:t>
      </w:r>
    </w:p>
    <w:p>
      <w:pPr>
        <w:spacing w:after="60"/>
      </w:pPr>
      <w:r>
        <w:rPr>
          <w:sz w:val="22"/>
        </w:rPr>
        <w:t>2. Définitions et types de changements</w:t>
      </w:r>
    </w:p>
    <w:p>
      <w:pPr>
        <w:spacing w:after="60"/>
      </w:pPr>
      <w:r>
        <w:rPr>
          <w:sz w:val="22"/>
        </w:rPr>
        <w:t>3. Rôles et instances (CAB / ECAB)</w:t>
      </w:r>
    </w:p>
    <w:p>
      <w:pPr>
        <w:spacing w:after="60"/>
      </w:pPr>
      <w:r>
        <w:rPr>
          <w:sz w:val="22"/>
        </w:rPr>
        <w:t>4. Workflow par type de changement</w:t>
      </w:r>
    </w:p>
    <w:p>
      <w:pPr>
        <w:spacing w:after="60"/>
      </w:pPr>
      <w:r>
        <w:rPr>
          <w:sz w:val="22"/>
        </w:rPr>
        <w:t>5. Évaluation des risques</w:t>
      </w:r>
    </w:p>
    <w:p>
      <w:pPr>
        <w:spacing w:after="60"/>
      </w:pPr>
      <w:r>
        <w:rPr>
          <w:sz w:val="22"/>
        </w:rPr>
        <w:t>6. Plan de rollback</w:t>
      </w:r>
    </w:p>
    <w:p>
      <w:pPr>
        <w:spacing w:after="60"/>
      </w:pPr>
      <w:r>
        <w:rPr>
          <w:sz w:val="22"/>
        </w:rPr>
        <w:t>7. Fenêtres de changement et gel</w:t>
      </w:r>
    </w:p>
    <w:p>
      <w:pPr>
        <w:spacing w:after="60"/>
      </w:pPr>
      <w:r>
        <w:rPr>
          <w:sz w:val="22"/>
        </w:rPr>
        <w:t>8. Revue post-implémentation</w:t>
      </w:r>
    </w:p>
    <w:p>
      <w:pPr>
        <w:spacing w:after="60"/>
      </w:pPr>
      <w:r>
        <w:rPr>
          <w:sz w:val="22"/>
        </w:rPr>
        <w:t>9. Indicateurs et audit</w:t>
      </w:r>
    </w:p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1. Objet et portée</w:t>
      </w:r>
    </w:p>
    <w:p>
      <w:pPr>
        <w:spacing w:line="312" w:lineRule="auto"/>
        <w:jc w:val="both"/>
      </w:pPr>
      <w:r>
        <w:t>La présente procédure définit le processus de gestion des changements applicables aux systèmes d'information de l'organisation, en application du contrôle A.8.32 « Gestion des changements » de la norme ISO/IEC 27001:2022, de la clause 6.3 « Planification des changements » et du cadre ITIL 4.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2. Définitions et types de changements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Définition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Approbation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Standard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Pré-approuvé, à faible risque, répétable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Modèle pré-validé (ex: réinit mot de passe)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Normal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Non standard, planifié, évalué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CAB hebdomadaire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Urgent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Risque limité mais délai contraint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ECAB sous 24h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Emergency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Résolution incident critique en cours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RSSI + DSI (validation a posteriori)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3. Rôles et instances (CAB / ECAB)</w:t>
      </w:r>
    </w:p>
    <w:p>
      <w:pPr>
        <w:pStyle w:val="ListBullet"/>
        <w:spacing w:after="40"/>
      </w:pPr>
      <w:r>
        <w:t>Demandeur (Change Requester) : initie la demande, justifie le besoin.</w:t>
      </w:r>
    </w:p>
    <w:p>
      <w:pPr>
        <w:pStyle w:val="ListBullet"/>
        <w:spacing w:after="40"/>
      </w:pPr>
      <w:r>
        <w:t>Change Manager : coordonne, anime les CAB, garant du processus.</w:t>
      </w:r>
    </w:p>
    <w:p>
      <w:pPr>
        <w:pStyle w:val="ListBullet"/>
        <w:spacing w:after="40"/>
      </w:pPr>
      <w:r>
        <w:t>CAB (Change Advisory Board) : revue hebdomadaire des changements normaux. Composition : DSI, RSSI, Architecte, représentants métier, support.</w:t>
      </w:r>
    </w:p>
    <w:p>
      <w:pPr>
        <w:pStyle w:val="ListBullet"/>
        <w:spacing w:after="40"/>
      </w:pPr>
      <w:r>
        <w:t>ECAB (Emergency CAB) : composition réduite (DSI + RSSI + chefs de projet impactés) — décisions sous 24h.</w:t>
      </w:r>
    </w:p>
    <w:p>
      <w:pPr>
        <w:pStyle w:val="ListBullet"/>
        <w:spacing w:after="40"/>
      </w:pPr>
      <w:r>
        <w:t>Implémenteur : exécute le changement selon le plan validé.</w:t>
      </w:r>
    </w:p>
    <w:p>
      <w:pPr>
        <w:pStyle w:val="ListBullet"/>
        <w:spacing w:after="40"/>
      </w:pPr>
      <w:r>
        <w:t>Approbateur métier : valide l'impact métier.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4. Workflow par type de changement</w:t>
      </w:r>
    </w:p>
    <w:p>
      <w:pPr>
        <w:spacing w:before="240" w:after="80"/>
      </w:pPr>
      <w:r>
        <w:rPr>
          <w:b/>
          <w:color w:val="1F4E79"/>
          <w:sz w:val="26"/>
        </w:rPr>
        <w:t>4.1 Changement Normal</w:t>
      </w:r>
    </w:p>
    <w:p>
      <w:pPr>
        <w:pStyle w:val="ListNumber"/>
        <w:spacing w:after="40"/>
      </w:pPr>
      <w:r>
        <w:t>Création d'une fiche de changement (RFC — Request For Change) dans l'outil ITSM.</w:t>
      </w:r>
    </w:p>
    <w:p>
      <w:pPr>
        <w:pStyle w:val="ListNumber"/>
        <w:spacing w:after="40"/>
      </w:pPr>
      <w:r>
        <w:t>Description : périmètre, justification, date cible, plan détaillé, plan de rollback, plan de test.</w:t>
      </w:r>
    </w:p>
    <w:p>
      <w:pPr>
        <w:pStyle w:val="ListNumber"/>
        <w:spacing w:after="40"/>
      </w:pPr>
      <w:r>
        <w:t>Évaluation du risque (matrice impact x probabilité d'échec).</w:t>
      </w:r>
    </w:p>
    <w:p>
      <w:pPr>
        <w:pStyle w:val="ListNumber"/>
        <w:spacing w:after="40"/>
      </w:pPr>
      <w:r>
        <w:t>Revue technique par l'architecte et le RSSI.</w:t>
      </w:r>
    </w:p>
    <w:p>
      <w:pPr>
        <w:pStyle w:val="ListNumber"/>
        <w:spacing w:after="40"/>
      </w:pPr>
      <w:r>
        <w:t>Présentation en CAB (hebdomadaire).</w:t>
      </w:r>
    </w:p>
    <w:p>
      <w:pPr>
        <w:pStyle w:val="ListNumber"/>
        <w:spacing w:after="40"/>
      </w:pPr>
      <w:r>
        <w:t>Décision : Approuvé / Reporté / Refusé.</w:t>
      </w:r>
    </w:p>
    <w:p>
      <w:pPr>
        <w:pStyle w:val="ListNumber"/>
        <w:spacing w:after="40"/>
      </w:pPr>
      <w:r>
        <w:t>Communication aux parties prenantes 48h avant.</w:t>
      </w:r>
    </w:p>
    <w:p>
      <w:pPr>
        <w:pStyle w:val="ListNumber"/>
        <w:spacing w:after="40"/>
      </w:pPr>
      <w:r>
        <w:t>Implémentation pendant la fenêtre validée.</w:t>
      </w:r>
    </w:p>
    <w:p>
      <w:pPr>
        <w:pStyle w:val="ListNumber"/>
        <w:spacing w:after="40"/>
      </w:pPr>
      <w:r>
        <w:t>Tests post-implémentation et clôture.</w:t>
      </w:r>
    </w:p>
    <w:p>
      <w:pPr>
        <w:pStyle w:val="ListNumber"/>
        <w:spacing w:after="40"/>
      </w:pPr>
      <w:r>
        <w:t>Revue post-implémentation (PIR) sous 7 jours.</w:t>
      </w:r>
    </w:p>
    <w:p>
      <w:pPr>
        <w:spacing w:before="240" w:after="80"/>
      </w:pPr>
      <w:r>
        <w:rPr>
          <w:b/>
          <w:color w:val="1F4E79"/>
          <w:sz w:val="26"/>
        </w:rPr>
        <w:t>4.2 Changement Standard</w:t>
      </w:r>
    </w:p>
    <w:p>
      <w:pPr>
        <w:spacing w:line="312" w:lineRule="auto"/>
        <w:jc w:val="both"/>
      </w:pPr>
      <w:r>
        <w:t>Les changements standards sont pré-approuvés via un catalogue de modèles. Exemples : ajout/retrait d'un utilisateur dans un groupe, redémarrage d'un service, déploiement d'un correctif Microsoft Patch Tuesday après tests en pré-production. Ils ne nécessitent pas de passage en CAB mais doivent être tracés dans l'ITSM.</w:t>
      </w:r>
    </w:p>
    <w:p>
      <w:pPr>
        <w:spacing w:before="240" w:after="80"/>
      </w:pPr>
      <w:r>
        <w:rPr>
          <w:b/>
          <w:color w:val="1F4E79"/>
          <w:sz w:val="26"/>
        </w:rPr>
        <w:t>4.3 Changement Urgent</w:t>
      </w:r>
    </w:p>
    <w:p>
      <w:pPr>
        <w:spacing w:line="312" w:lineRule="auto"/>
        <w:jc w:val="both"/>
      </w:pPr>
      <w:r>
        <w:t>Réservé aux changements à fort enjeu ne pouvant attendre le prochain CAB (ex : faille critique CVSS ≥ 9.0). Workflow : ECAB sous 24h, validation conjointe RSSI + DSI, exécution avec rollback obligatoire, revue post-implémentation systématique.</w:t>
      </w:r>
    </w:p>
    <w:p>
      <w:pPr>
        <w:spacing w:before="240" w:after="80"/>
      </w:pPr>
      <w:r>
        <w:rPr>
          <w:b/>
          <w:color w:val="1F4E79"/>
          <w:sz w:val="26"/>
        </w:rPr>
        <w:t>4.4 Changement Emergency</w:t>
      </w:r>
    </w:p>
    <w:p>
      <w:pPr>
        <w:spacing w:line="312" w:lineRule="auto"/>
        <w:jc w:val="both"/>
      </w:pPr>
      <w:r>
        <w:t>Réservé à la résolution d'un incident en cours (G4-G5). Décision immédiate par RSSI + DSI, exécution sans CAB préalable, validation a posteriori en CAB suivant. Toute mesure de contournement (workaround) doit être documentée et faire l'objet d'un suivi.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5. Évaluation des risques</w:t>
      </w:r>
    </w:p>
    <w:p>
      <w:pPr>
        <w:spacing w:line="312" w:lineRule="auto"/>
        <w:jc w:val="both"/>
      </w:pPr>
      <w:r>
        <w:t>Tout changement fait l'objet d'une analyse de risque pondérée sur :</w:t>
      </w:r>
    </w:p>
    <w:p>
      <w:pPr>
        <w:pStyle w:val="ListBullet"/>
        <w:spacing w:after="40"/>
      </w:pPr>
      <w:r>
        <w:t>Périmètre impacté (criticité, nombre d'utilisateurs).</w:t>
      </w:r>
    </w:p>
    <w:p>
      <w:pPr>
        <w:pStyle w:val="ListBullet"/>
        <w:spacing w:after="40"/>
      </w:pPr>
      <w:r>
        <w:t>Complexité technique (nouveauté, dépendances).</w:t>
      </w:r>
    </w:p>
    <w:p>
      <w:pPr>
        <w:pStyle w:val="ListBullet"/>
        <w:spacing w:after="40"/>
      </w:pPr>
      <w:r>
        <w:t>Réversibilité (rollback testé ou non).</w:t>
      </w:r>
    </w:p>
    <w:p>
      <w:pPr>
        <w:pStyle w:val="ListBullet"/>
        <w:spacing w:after="40"/>
      </w:pPr>
      <w:r>
        <w:t>Fenêtre d'exécution (heures ouvrées vs maintenance).</w:t>
      </w:r>
    </w:p>
    <w:p>
      <w:pPr>
        <w:pStyle w:val="ListBullet"/>
        <w:spacing w:after="40"/>
      </w:pPr>
      <w:r>
        <w:t>Risque sécurité (nouveau composant, configuration exposée).</w:t>
      </w:r>
    </w:p>
    <w:p>
      <w:pPr>
        <w:spacing w:line="312" w:lineRule="auto"/>
        <w:jc w:val="both"/>
      </w:pPr>
      <w:r>
        <w:t>Un risque évalué « Élevé » impose : (1) test en pré-production identique, (2) ECAB / arbitrage RSSI, (3) plan de communication dédié, (4) astreinte renforcée pendant 48h post-déploiement.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6. Plan de rollback</w:t>
      </w:r>
    </w:p>
    <w:p>
      <w:pPr>
        <w:spacing w:line="312" w:lineRule="auto"/>
        <w:jc w:val="both"/>
      </w:pPr>
      <w:r>
        <w:t>Tout changement Normal, Urgent ou Emergency doit comporter un plan de rollback documenté, comportant a minima :</w:t>
      </w:r>
    </w:p>
    <w:p>
      <w:pPr>
        <w:pStyle w:val="ListBullet"/>
        <w:spacing w:after="40"/>
      </w:pPr>
      <w:r>
        <w:t>Procédure détaillée pas à pas pour revenir à l'état antérieur.</w:t>
      </w:r>
    </w:p>
    <w:p>
      <w:pPr>
        <w:pStyle w:val="ListBullet"/>
        <w:spacing w:after="40"/>
      </w:pPr>
      <w:r>
        <w:t>Sauvegarde / snapshot pré-changement valide.</w:t>
      </w:r>
    </w:p>
    <w:p>
      <w:pPr>
        <w:pStyle w:val="ListBullet"/>
        <w:spacing w:after="40"/>
      </w:pPr>
      <w:r>
        <w:t>Critères d'activation du rollback (KPI dégradés, indisponibilité, alerte SOC).</w:t>
      </w:r>
    </w:p>
    <w:p>
      <w:pPr>
        <w:pStyle w:val="ListBullet"/>
        <w:spacing w:after="40"/>
      </w:pPr>
      <w:r>
        <w:t>Délai maximal d'exécution du rollback.</w:t>
      </w:r>
    </w:p>
    <w:p>
      <w:pPr>
        <w:pStyle w:val="ListBullet"/>
        <w:spacing w:after="40"/>
      </w:pPr>
      <w:r>
        <w:t>Personne(s) habilitée(s) à décider le rollback.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7. Fenêtres de changement et gel</w:t>
      </w:r>
    </w:p>
    <w:p>
      <w:pPr>
        <w:pStyle w:val="ListBullet"/>
        <w:spacing w:after="40"/>
      </w:pPr>
      <w:r>
        <w:t>Fenêtre standard : mardi et jeudi 21h00 - 23h00, samedi 06h00 - 12h00.</w:t>
      </w:r>
    </w:p>
    <w:p>
      <w:pPr>
        <w:pStyle w:val="ListBullet"/>
        <w:spacing w:after="40"/>
      </w:pPr>
      <w:r>
        <w:t>Fenêtre Urgent : sur décision RSSI + DSI.</w:t>
      </w:r>
    </w:p>
    <w:p>
      <w:pPr>
        <w:pStyle w:val="ListBullet"/>
        <w:spacing w:after="40"/>
      </w:pPr>
      <w:r>
        <w:t>Périodes de gel (freeze) annoncées 30 jours à l'avance : clôture comptable mensuelle (J-3 à J+2), Black Friday (semaine entière), Noël/Nouvel An (15/12 - 05/01), période d'audit certification.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8. Revue post-implémentation</w:t>
      </w:r>
    </w:p>
    <w:p>
      <w:pPr>
        <w:spacing w:line="312" w:lineRule="auto"/>
        <w:jc w:val="both"/>
      </w:pPr>
      <w:r>
        <w:t>La Post Implementation Review (PIR) est obligatoire pour tout changement Normal, Urgent et Emergency, sous 7 jours :</w:t>
      </w:r>
    </w:p>
    <w:p>
      <w:pPr>
        <w:pStyle w:val="ListBullet"/>
        <w:spacing w:after="40"/>
      </w:pPr>
      <w:r>
        <w:t>Validation du succès fonctionnel et technique.</w:t>
      </w:r>
    </w:p>
    <w:p>
      <w:pPr>
        <w:pStyle w:val="ListBullet"/>
        <w:spacing w:after="40"/>
      </w:pPr>
      <w:r>
        <w:t>Évaluation des écarts (planning, périmètre, qualité).</w:t>
      </w:r>
    </w:p>
    <w:p>
      <w:pPr>
        <w:pStyle w:val="ListBullet"/>
        <w:spacing w:after="40"/>
      </w:pPr>
      <w:r>
        <w:t>Identification des leçons et actions correctives.</w:t>
      </w:r>
    </w:p>
    <w:p>
      <w:pPr>
        <w:pStyle w:val="ListBullet"/>
        <w:spacing w:after="40"/>
      </w:pPr>
      <w:r>
        <w:t>Clôture officielle dans l'ITSM avec rapport signé.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9. Indicateurs et audit</w:t>
      </w:r>
    </w:p>
    <w:p>
      <w:pPr>
        <w:pStyle w:val="ListBullet"/>
        <w:spacing w:after="40"/>
      </w:pPr>
      <w:r>
        <w:t>Taux de réussite des changements (cible : ≥ 95%).</w:t>
      </w:r>
    </w:p>
    <w:p>
      <w:pPr>
        <w:pStyle w:val="ListBullet"/>
        <w:spacing w:after="40"/>
      </w:pPr>
      <w:r>
        <w:t>% changements Emergency (cible : ≤ 5%).</w:t>
      </w:r>
    </w:p>
    <w:p>
      <w:pPr>
        <w:pStyle w:val="ListBullet"/>
        <w:spacing w:after="40"/>
      </w:pPr>
      <w:r>
        <w:t>% changements avec rollback déclenché.</w:t>
      </w:r>
    </w:p>
    <w:p>
      <w:pPr>
        <w:pStyle w:val="ListBullet"/>
        <w:spacing w:after="40"/>
      </w:pPr>
      <w:r>
        <w:t>Délai moyen d'instruction (de RFC à approbation CAB).</w:t>
      </w:r>
    </w:p>
    <w:p>
      <w:pPr>
        <w:pStyle w:val="ListBullet"/>
        <w:spacing w:after="40"/>
      </w:pPr>
      <w:r>
        <w:t>Audit annuel par l'audit interne (échantillon de 30 RFC).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213"/>
        </w:tcPr>
        <w:p>
          <w:r>
            <w:rPr>
              <w:color w:val="595959"/>
              <w:sz w:val="16"/>
            </w:rPr>
            <w:t>© Ayinedjimi Consultants — ayinedjimi-consultants.fr</w:t>
          </w:r>
        </w:p>
      </w:tc>
      <w:tc>
        <w:tcPr>
          <w:tcW w:type="dxa" w:w="3213"/>
        </w:tcPr>
        <w:p>
          <w:pPr>
            <w:jc w:val="center"/>
          </w:pPr>
          <w:r>
            <w:rPr>
              <w:color w:val="595959"/>
              <w:sz w:val="16"/>
            </w:rPr>
            <w:t>Document confidentiel — Usage interne</w:t>
          </w:r>
        </w:p>
      </w:tc>
      <w:tc>
        <w:tcPr>
          <w:tcW w:type="dxa" w:w="3213"/>
        </w:tcPr>
        <w:p>
          <w:pPr>
            <w:jc w:val="right"/>
          </w:pPr>
          <w:r>
            <w:rPr>
              <w:color w:val="595959"/>
              <w:sz w:val="16"/>
            </w:rPr>
            <w:t xml:space="preserve">Page </w:t>
            <w:fldSimple w:instr="PAGE \* MERGEFORMAT">
              <w:r>
                <w:t>1</w:t>
              </w:r>
            </w:fldSimple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pPr>
            <w:jc w:val="left"/>
          </w:pPr>
          <w:r>
            <w:rPr>
              <w:color w:val="595959"/>
              <w:sz w:val="18"/>
            </w:rPr>
            <w:t>ayinedjimi-consultants.fr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color w:val="595959"/>
              <w:sz w:val="18"/>
            </w:rPr>
            <w:t>ISO/IEC 27001:2022 — Template Gratuit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