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C9A961"/>
          <w:sz w:val="28"/>
        </w:rPr>
        <w:t>ISO/IEC 27001:2022</w:t>
      </w:r>
    </w:p>
    <w:p>
      <w:pPr>
        <w:spacing w:before="400"/>
        <w:jc w:val="center"/>
      </w:pPr>
      <w:r>
        <w:rPr>
          <w:b/>
          <w:color w:val="1F3A5F"/>
          <w:sz w:val="48"/>
        </w:rPr>
        <w:t>Procédure de masquage et d'anonymisation des données</w:t>
      </w:r>
    </w:p>
    <w:p>
      <w:pPr>
        <w:jc w:val="center"/>
      </w:pPr>
      <w:r>
        <w:rPr>
          <w:i/>
          <w:color w:val="555555"/>
          <w:sz w:val="26"/>
        </w:rPr>
        <w:t>Pseudonymisation, anonymisation, tokenisation — Contrôle A.8.11</w:t>
      </w:r>
    </w:p>
    <w:tbl>
      <w:tblPr>
        <w:tblW w:type="auto" w:w="0"/>
        <w:jc w:val="center"/>
        <w:tblLook w:firstColumn="1" w:firstRow="1" w:lastColumn="0" w:lastRow="0" w:noHBand="0" w:noVBand="1" w:val="04A0"/>
      </w:tblPr>
      <w:tblGrid>
        <w:gridCol w:w="3118"/>
        <w:gridCol w:w="4535"/>
      </w:tblGrid>
      <w:tr>
        <w:tc>
          <w:tcPr>
            <w:tcW w:type="dxa" w:w="4986"/>
            <w:shd w:fill="F4F1EA" w:val="clear"/>
            <w:tcBorders>
              <w:top w:val="single" w:sz="6" w:color="999999"/>
              <w:left w:val="single" w:sz="6" w:color="999999"/>
              <w:bottom w:val="single" w:sz="6" w:color="999999"/>
              <w:right w:val="single" w:sz="6" w:color="999999"/>
            </w:tcBorders>
          </w:tcPr>
          <w:p>
            <w:r>
              <w:rPr>
                <w:b/>
                <w:sz w:val="20"/>
              </w:rPr>
              <w:t>Référence document</w:t>
            </w:r>
          </w:p>
        </w:tc>
        <w:tc>
          <w:tcPr>
            <w:tcW w:type="dxa" w:w="4986"/>
            <w:tcBorders>
              <w:top w:val="single" w:sz="6" w:color="999999"/>
              <w:left w:val="single" w:sz="6" w:color="999999"/>
              <w:bottom w:val="single" w:sz="6" w:color="999999"/>
              <w:right w:val="single" w:sz="6" w:color="999999"/>
            </w:tcBorders>
          </w:tcPr>
          <w:p>
            <w:r>
              <w:rPr>
                <w:sz w:val="20"/>
              </w:rPr>
              <w:t>PROC-SMSI-MSK-001</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Version</w:t>
            </w:r>
          </w:p>
        </w:tc>
        <w:tc>
          <w:tcPr>
            <w:tcW w:type="dxa" w:w="4986"/>
            <w:tcBorders>
              <w:top w:val="single" w:sz="6" w:color="999999"/>
              <w:left w:val="single" w:sz="6" w:color="999999"/>
              <w:bottom w:val="single" w:sz="6" w:color="999999"/>
              <w:right w:val="single" w:sz="6" w:color="999999"/>
            </w:tcBorders>
          </w:tcPr>
          <w:p>
            <w:r>
              <w:rPr>
                <w:sz w:val="20"/>
              </w:rPr>
              <w:t>1.0</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Date de publication</w:t>
            </w:r>
          </w:p>
        </w:tc>
        <w:tc>
          <w:tcPr>
            <w:tcW w:type="dxa" w:w="4986"/>
            <w:tcBorders>
              <w:top w:val="single" w:sz="6" w:color="999999"/>
              <w:left w:val="single" w:sz="6" w:color="999999"/>
              <w:bottom w:val="single" w:sz="6" w:color="999999"/>
              <w:right w:val="single" w:sz="6" w:color="999999"/>
            </w:tcBorders>
          </w:tcPr>
          <w:p>
            <w:r>
              <w:rPr>
                <w:sz w:val="20"/>
              </w:rPr>
              <w:t>15/05/2026</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Statut</w:t>
            </w:r>
          </w:p>
        </w:tc>
        <w:tc>
          <w:tcPr>
            <w:tcW w:type="dxa" w:w="4986"/>
            <w:tcBorders>
              <w:top w:val="single" w:sz="6" w:color="999999"/>
              <w:left w:val="single" w:sz="6" w:color="999999"/>
              <w:bottom w:val="single" w:sz="6" w:color="999999"/>
              <w:right w:val="single" w:sz="6" w:color="999999"/>
            </w:tcBorders>
          </w:tcPr>
          <w:p>
            <w:r>
              <w:rPr>
                <w:sz w:val="20"/>
              </w:rPr>
              <w:t>Modèle — à adapter au contexte</w:t>
            </w:r>
          </w:p>
        </w:tc>
      </w:tr>
      <w:tr>
        <w:tc>
          <w:tcPr>
            <w:tcW w:type="dxa" w:w="4986"/>
            <w:shd w:fill="F4F1EA" w:val="clear"/>
            <w:tcBorders>
              <w:top w:val="single" w:sz="6" w:color="999999"/>
              <w:left w:val="single" w:sz="6" w:color="999999"/>
              <w:bottom w:val="single" w:sz="6" w:color="999999"/>
              <w:right w:val="single" w:sz="6" w:color="999999"/>
            </w:tcBorders>
          </w:tcPr>
          <w:p>
            <w:r>
              <w:rPr>
                <w:b/>
                <w:sz w:val="20"/>
              </w:rPr>
              <w:t>Diffusion</w:t>
            </w:r>
          </w:p>
        </w:tc>
        <w:tc>
          <w:tcPr>
            <w:tcW w:type="dxa" w:w="4986"/>
            <w:tcBorders>
              <w:top w:val="single" w:sz="6" w:color="999999"/>
              <w:left w:val="single" w:sz="6" w:color="999999"/>
              <w:bottom w:val="single" w:sz="6" w:color="999999"/>
              <w:right w:val="single" w:sz="6" w:color="999999"/>
            </w:tcBorders>
          </w:tcPr>
          <w:p>
            <w:r>
              <w:rPr>
                <w:sz w:val="20"/>
              </w:rPr>
              <w:t>Usage interne — Confidentiel C2</w:t>
            </w:r>
          </w:p>
        </w:tc>
      </w:tr>
    </w:tbl>
    <w:p>
      <w:pPr>
        <w:spacing w:before="600"/>
        <w:jc w:val="both"/>
      </w:pPr>
      <w:r>
        <w:rPr>
          <w:i/>
          <w:color w:val="555555"/>
          <w:sz w:val="18"/>
        </w:rPr>
        <w:t>Ce modèle est fourni gratuitement par ayinedjimi-consultants.fr à des fins pédagogiques et de support à la mise en conformité ISO/IEC 27001:2022. Il doit être adapté au contexte, au périmètre et aux exigences spécifiques de l'organisme utilisateur. La responsabilité de la conformité finale incombe à l'utilisateur. Toute reproduction commerciale est interdite.</w:t>
      </w:r>
    </w:p>
    <w:p>
      <w:r>
        <w:br w:type="page"/>
      </w:r>
    </w:p>
    <w:p>
      <w:pPr>
        <w:spacing w:after="240"/>
      </w:pPr>
      <w:r>
        <w:rPr>
          <w:b/>
          <w:color w:val="1F3A5F"/>
          <w:sz w:val="36"/>
        </w:rPr>
        <w:t>Sommaire</w:t>
      </w:r>
    </w:p>
    <w:p>
      <w:pPr>
        <w:ind w:left="0"/>
      </w:pPr>
      <w:r>
        <w:rPr>
          <w:b/>
          <w:color w:val="1F3A5F"/>
          <w:sz w:val="22"/>
        </w:rPr>
        <w:t>1  Objet et périmètre</w:t>
      </w:r>
    </w:p>
    <w:p>
      <w:pPr>
        <w:ind w:left="0"/>
      </w:pPr>
      <w:r>
        <w:rPr>
          <w:b/>
          <w:color w:val="1F3A5F"/>
          <w:sz w:val="22"/>
        </w:rPr>
        <w:t>2  Références</w:t>
      </w:r>
    </w:p>
    <w:p>
      <w:pPr>
        <w:ind w:left="0"/>
      </w:pPr>
      <w:r>
        <w:rPr>
          <w:b/>
          <w:color w:val="1F3A5F"/>
          <w:sz w:val="22"/>
        </w:rPr>
        <w:t>3  Vocabulaire et différences clés</w:t>
      </w:r>
    </w:p>
    <w:p>
      <w:pPr>
        <w:ind w:left="283"/>
      </w:pPr>
      <w:r>
        <w:rPr>
          <w:sz w:val="22"/>
        </w:rPr>
        <w:t>3.1  Pseudonymisation</w:t>
      </w:r>
    </w:p>
    <w:p>
      <w:pPr>
        <w:ind w:left="283"/>
      </w:pPr>
      <w:r>
        <w:rPr>
          <w:sz w:val="22"/>
        </w:rPr>
        <w:t>3.2  Anonymisation</w:t>
      </w:r>
    </w:p>
    <w:p>
      <w:pPr>
        <w:ind w:left="283"/>
      </w:pPr>
      <w:r>
        <w:rPr>
          <w:sz w:val="22"/>
        </w:rPr>
        <w:t>3.3  Tokenisation</w:t>
      </w:r>
    </w:p>
    <w:p>
      <w:pPr>
        <w:ind w:left="283"/>
      </w:pPr>
      <w:r>
        <w:rPr>
          <w:sz w:val="22"/>
        </w:rPr>
        <w:t>3.4  Masquage statique vs dynamique</w:t>
      </w:r>
    </w:p>
    <w:p>
      <w:pPr>
        <w:ind w:left="0"/>
      </w:pPr>
      <w:r>
        <w:rPr>
          <w:b/>
          <w:color w:val="1F3A5F"/>
          <w:sz w:val="22"/>
        </w:rPr>
        <w:t>4  Cas d'usage par contexte</w:t>
      </w:r>
    </w:p>
    <w:p>
      <w:pPr>
        <w:ind w:left="283"/>
      </w:pPr>
      <w:r>
        <w:rPr>
          <w:sz w:val="22"/>
        </w:rPr>
        <w:t>4.1  Environnement de développement / test</w:t>
      </w:r>
    </w:p>
    <w:p>
      <w:pPr>
        <w:ind w:left="283"/>
      </w:pPr>
      <w:r>
        <w:rPr>
          <w:sz w:val="22"/>
        </w:rPr>
        <w:t>4.2  Analytics et BI</w:t>
      </w:r>
    </w:p>
    <w:p>
      <w:pPr>
        <w:ind w:left="283"/>
      </w:pPr>
      <w:r>
        <w:rPr>
          <w:sz w:val="22"/>
        </w:rPr>
        <w:t>4.3  Conformité PCI-DSS</w:t>
      </w:r>
    </w:p>
    <w:p>
      <w:pPr>
        <w:ind w:left="0"/>
      </w:pPr>
      <w:r>
        <w:rPr>
          <w:b/>
          <w:color w:val="1F3A5F"/>
          <w:sz w:val="22"/>
        </w:rPr>
        <w:t>5  Techniques d'anonymisation RGPD</w:t>
      </w:r>
    </w:p>
    <w:p>
      <w:pPr>
        <w:ind w:left="283"/>
      </w:pPr>
      <w:r>
        <w:rPr>
          <w:sz w:val="22"/>
        </w:rPr>
        <w:t>5.1  k-anonymat</w:t>
      </w:r>
    </w:p>
    <w:p>
      <w:pPr>
        <w:ind w:left="283"/>
      </w:pPr>
      <w:r>
        <w:rPr>
          <w:sz w:val="22"/>
        </w:rPr>
        <w:t>5.2  l-diversité et t-proximité</w:t>
      </w:r>
    </w:p>
    <w:p>
      <w:pPr>
        <w:ind w:left="283"/>
      </w:pPr>
      <w:r>
        <w:rPr>
          <w:sz w:val="22"/>
        </w:rPr>
        <w:t>5.3  Différentiation privacy</w:t>
      </w:r>
    </w:p>
    <w:p>
      <w:pPr>
        <w:ind w:left="0"/>
      </w:pPr>
      <w:r>
        <w:rPr>
          <w:b/>
          <w:color w:val="1F3A5F"/>
          <w:sz w:val="22"/>
        </w:rPr>
        <w:t>6  Outils approuvés</w:t>
      </w:r>
    </w:p>
    <w:p>
      <w:pPr>
        <w:ind w:left="0"/>
      </w:pPr>
      <w:r>
        <w:rPr>
          <w:b/>
          <w:color w:val="1F3A5F"/>
          <w:sz w:val="22"/>
        </w:rPr>
        <w:t>7  Workflow opérationnel</w:t>
      </w:r>
    </w:p>
    <w:p>
      <w:pPr>
        <w:ind w:left="0"/>
      </w:pPr>
      <w:r>
        <w:rPr>
          <w:b/>
          <w:color w:val="1F3A5F"/>
          <w:sz w:val="22"/>
        </w:rPr>
        <w:t>8  Validation DPO</w:t>
      </w:r>
    </w:p>
    <w:p>
      <w:pPr>
        <w:ind w:left="0"/>
      </w:pPr>
      <w:r>
        <w:rPr>
          <w:b/>
          <w:color w:val="1F3A5F"/>
          <w:sz w:val="22"/>
        </w:rPr>
        <w:t>9  Indicateurs et reporting</w:t>
      </w:r>
    </w:p>
    <w:p>
      <w:pPr>
        <w:ind w:left="0"/>
      </w:pPr>
      <w:r>
        <w:rPr>
          <w:b/>
          <w:color w:val="1F3A5F"/>
          <w:sz w:val="22"/>
        </w:rPr>
        <w:t>10  Rôles et responsabilités</w:t>
      </w:r>
    </w:p>
    <w:p>
      <w:pPr>
        <w:ind w:left="0"/>
      </w:pPr>
      <w:r>
        <w:rPr>
          <w:b/>
          <w:color w:val="1F3A5F"/>
          <w:sz w:val="22"/>
        </w:rPr>
        <w:t>11  Revue et amélioration</w:t>
      </w:r>
    </w:p>
    <w:p>
      <w:pPr>
        <w:ind w:left="0"/>
      </w:pPr>
      <w:r>
        <w:rPr>
          <w:b/>
          <w:color w:val="1F3A5F"/>
          <w:sz w:val="22"/>
        </w:rPr>
        <w:t>12  Validation et signatures</w:t>
      </w:r>
    </w:p>
    <w:p>
      <w:r>
        <w:br w:type="page"/>
      </w:r>
    </w:p>
    <w:p>
      <w:pPr>
        <w:keepNext/>
        <w:spacing w:before="360" w:after="160"/>
        <w:pBdr>
          <w:bottom w:val="single" w:sz="6" w:color="C9A961"/>
        </w:pBdr>
      </w:pPr>
      <w:r>
        <w:rPr>
          <w:b/>
          <w:color w:val="1F3A5F"/>
          <w:sz w:val="32"/>
        </w:rPr>
        <w:t>1  Objet et périmètre</w:t>
      </w:r>
    </w:p>
    <w:p>
      <w:pPr>
        <w:jc w:val="both"/>
      </w:pPr>
      <w:r>
        <w:rPr>
          <w:b w:val="0"/>
          <w:i w:val="0"/>
          <w:sz w:val="22"/>
        </w:rPr>
        <w:t>La présente procédure définit les techniques et règles applicables pour masquer, pseudonymiser, anonymiser ou tokeniser les données sensibles utilisées en dehors de l'environnement de production, conformément au contrôle A.8.11 de la norme ISO/IEC 27001:2022 et aux articles 4(5), 25 et 32 du RGPD.</w:t>
      </w:r>
    </w:p>
    <w:p>
      <w:pPr>
        <w:keepNext/>
        <w:spacing w:before="360" w:after="160"/>
        <w:pBdr>
          <w:bottom w:val="single" w:sz="6" w:color="C9A961"/>
        </w:pBdr>
      </w:pPr>
      <w:r>
        <w:rPr>
          <w:b/>
          <w:color w:val="1F3A5F"/>
          <w:sz w:val="32"/>
        </w:rPr>
        <w:t>2  Références</w:t>
      </w:r>
    </w:p>
    <w:p>
      <w:pPr>
        <w:pStyle w:val="ListBullet"/>
        <w:ind w:left="283"/>
      </w:pPr>
      <w:r/>
      <w:r>
        <w:rPr>
          <w:sz w:val="22"/>
        </w:rPr>
        <w:t>ISO/IEC 27001:2022 — Annexe A.8.11 Masquage des données</w:t>
      </w:r>
    </w:p>
    <w:p>
      <w:pPr>
        <w:pStyle w:val="ListBullet"/>
        <w:ind w:left="283"/>
      </w:pPr>
      <w:r/>
      <w:r>
        <w:rPr>
          <w:sz w:val="22"/>
        </w:rPr>
        <w:t>RGPD — articles 4(5), 25, 32, 89, considérant 26</w:t>
      </w:r>
    </w:p>
    <w:p>
      <w:pPr>
        <w:pStyle w:val="ListBullet"/>
        <w:ind w:left="283"/>
      </w:pPr>
      <w:r/>
      <w:r>
        <w:rPr>
          <w:sz w:val="22"/>
        </w:rPr>
        <w:t>G29 / EDPB — Avis sur l'anonymisation (2014)</w:t>
      </w:r>
    </w:p>
    <w:p>
      <w:pPr>
        <w:pStyle w:val="ListBullet"/>
        <w:ind w:left="283"/>
      </w:pPr>
      <w:r/>
      <w:r>
        <w:rPr>
          <w:sz w:val="22"/>
        </w:rPr>
        <w:t>CNIL — Lignes directrices anonymisation et pseudonymisation (2022)</w:t>
      </w:r>
    </w:p>
    <w:p>
      <w:pPr>
        <w:pStyle w:val="ListBullet"/>
        <w:ind w:left="283"/>
      </w:pPr>
      <w:r/>
      <w:r>
        <w:rPr>
          <w:sz w:val="22"/>
        </w:rPr>
        <w:t>PCI-DSS v4.0 — Requirements 3.4 / 3.5 (tokenisation, masquage PAN)</w:t>
      </w:r>
    </w:p>
    <w:p>
      <w:pPr>
        <w:pStyle w:val="ListBullet"/>
        <w:ind w:left="283"/>
      </w:pPr>
      <w:r/>
      <w:r>
        <w:rPr>
          <w:sz w:val="22"/>
        </w:rPr>
        <w:t>NIST SP 800-188 — De-Identifying Government Datasets</w:t>
      </w:r>
    </w:p>
    <w:p>
      <w:pPr>
        <w:pStyle w:val="ListBullet"/>
        <w:ind w:left="283"/>
      </w:pPr>
      <w:r/>
      <w:r>
        <w:rPr>
          <w:sz w:val="22"/>
        </w:rPr>
        <w:t>Politique classification information (réf. POL-SMSI-CLA-001)</w:t>
      </w:r>
    </w:p>
    <w:p>
      <w:pPr>
        <w:keepNext/>
        <w:spacing w:before="360" w:after="160"/>
        <w:pBdr>
          <w:bottom w:val="single" w:sz="6" w:color="C9A961"/>
        </w:pBdr>
      </w:pPr>
      <w:r>
        <w:rPr>
          <w:b/>
          <w:color w:val="1F3A5F"/>
          <w:sz w:val="32"/>
        </w:rPr>
        <w:t>3  Vocabulaire et différences clés</w:t>
      </w:r>
    </w:p>
    <w:p>
      <w:pPr>
        <w:keepNext/>
        <w:spacing w:before="280" w:after="120"/>
      </w:pPr>
      <w:r>
        <w:rPr>
          <w:b/>
          <w:color w:val="1F3A5F"/>
          <w:sz w:val="26"/>
        </w:rPr>
        <w:t>3.1  Pseudonymisation</w:t>
      </w:r>
    </w:p>
    <w:p>
      <w:pPr>
        <w:jc w:val="both"/>
      </w:pPr>
      <w:r>
        <w:rPr>
          <w:b w:val="0"/>
          <w:i w:val="0"/>
          <w:sz w:val="22"/>
        </w:rPr>
        <w:t>Article 4(5) RGPD — 'le traitement de données à caractère personnel de telle façon que celles-ci ne puissent plus être attribuées à une personne concernée précise sans avoir recours à des informations supplémentaires, à condition que ces informations supplémentaires soient conservées séparément'.</w:t>
      </w:r>
    </w:p>
    <w:p>
      <w:pPr>
        <w:pStyle w:val="ListBullet"/>
        <w:ind w:left="283"/>
      </w:pPr>
      <w:r/>
      <w:r>
        <w:rPr>
          <w:sz w:val="22"/>
        </w:rPr>
        <w:t>Réversible (le rapprochement reste possible avec la clé/table de correspondance)</w:t>
      </w:r>
    </w:p>
    <w:p>
      <w:pPr>
        <w:pStyle w:val="ListBullet"/>
        <w:ind w:left="283"/>
      </w:pPr>
      <w:r/>
      <w:r>
        <w:rPr>
          <w:sz w:val="22"/>
        </w:rPr>
        <w:t>Les données pseudonymisées restent des DCP au sens RGPD</w:t>
      </w:r>
    </w:p>
    <w:p>
      <w:pPr>
        <w:pStyle w:val="ListBullet"/>
        <w:ind w:left="283"/>
      </w:pPr>
      <w:r/>
      <w:r>
        <w:rPr>
          <w:sz w:val="22"/>
        </w:rPr>
        <w:t>Bénéfice : réduction du risque, mesure de sécurité, exigence article 32</w:t>
      </w:r>
    </w:p>
    <w:p>
      <w:pPr>
        <w:keepNext/>
        <w:spacing w:before="280" w:after="120"/>
      </w:pPr>
      <w:r>
        <w:rPr>
          <w:b/>
          <w:color w:val="1F3A5F"/>
          <w:sz w:val="26"/>
        </w:rPr>
        <w:t>3.2  Anonymisation</w:t>
      </w:r>
    </w:p>
    <w:p>
      <w:pPr>
        <w:jc w:val="both"/>
      </w:pPr>
      <w:r>
        <w:rPr>
          <w:b w:val="0"/>
          <w:i w:val="0"/>
          <w:sz w:val="22"/>
        </w:rPr>
        <w:t>Considérant 26 RGPD — données anonymes = sortir du champ du RGPD à condition que l'identification soit impossible 'compte tenu de l'ensemble des moyens raisonnablement susceptibles d'être utilisés'.</w:t>
      </w:r>
    </w:p>
    <w:p>
      <w:pPr>
        <w:pStyle w:val="ListBullet"/>
        <w:ind w:left="283"/>
      </w:pPr>
      <w:r/>
      <w:r>
        <w:rPr>
          <w:sz w:val="22"/>
        </w:rPr>
        <w:t>Irréversible : impossibilité raisonnable de ré-identification, même avec d'autres jeux de données</w:t>
      </w:r>
    </w:p>
    <w:p>
      <w:pPr>
        <w:pStyle w:val="ListBullet"/>
        <w:ind w:left="283"/>
      </w:pPr>
      <w:r/>
      <w:r>
        <w:rPr>
          <w:sz w:val="22"/>
        </w:rPr>
        <w:t>Critères G29 : individualisation, corrélation, inférence — les trois doivent être empêchées</w:t>
      </w:r>
    </w:p>
    <w:p>
      <w:pPr>
        <w:pStyle w:val="ListBullet"/>
        <w:ind w:left="283"/>
      </w:pPr>
      <w:r/>
      <w:r>
        <w:rPr>
          <w:sz w:val="22"/>
        </w:rPr>
        <w:t>Plus exigeant que la pseudonymisation, validation DPO obligatoire</w:t>
      </w:r>
    </w:p>
    <w:p>
      <w:pPr>
        <w:keepNext/>
        <w:spacing w:before="280" w:after="120"/>
      </w:pPr>
      <w:r>
        <w:rPr>
          <w:b/>
          <w:color w:val="1F3A5F"/>
          <w:sz w:val="26"/>
        </w:rPr>
        <w:t>3.3  Tokenisation</w:t>
      </w:r>
    </w:p>
    <w:p>
      <w:pPr>
        <w:pStyle w:val="ListBullet"/>
        <w:ind w:left="283"/>
      </w:pPr>
      <w:r/>
      <w:r>
        <w:rPr>
          <w:sz w:val="22"/>
        </w:rPr>
        <w:t>Remplacement d'une donnée sensible par un jeton (token) non significatif</w:t>
      </w:r>
    </w:p>
    <w:p>
      <w:pPr>
        <w:pStyle w:val="ListBullet"/>
        <w:ind w:left="283"/>
      </w:pPr>
      <w:r/>
      <w:r>
        <w:rPr>
          <w:sz w:val="22"/>
        </w:rPr>
        <w:t>Table de correspondance (vault) conservée dans un environnement hautement sécurisé</w:t>
      </w:r>
    </w:p>
    <w:p>
      <w:pPr>
        <w:pStyle w:val="ListBullet"/>
        <w:ind w:left="283"/>
      </w:pPr>
      <w:r/>
      <w:r>
        <w:rPr>
          <w:sz w:val="22"/>
        </w:rPr>
        <w:t>Usage privilégié : PCI-DSS, NIR, données structurées sensibles</w:t>
      </w:r>
    </w:p>
    <w:p>
      <w:pPr>
        <w:pStyle w:val="ListBullet"/>
        <w:ind w:left="283"/>
      </w:pPr>
      <w:r/>
      <w:r>
        <w:rPr>
          <w:sz w:val="22"/>
        </w:rPr>
        <w:t>Token preservation : peut conserver le format (FPE — Format Preserving Encryption)</w:t>
      </w:r>
    </w:p>
    <w:p>
      <w:pPr>
        <w:keepNext/>
        <w:spacing w:before="280" w:after="120"/>
      </w:pPr>
      <w:r>
        <w:rPr>
          <w:b/>
          <w:color w:val="1F3A5F"/>
          <w:sz w:val="26"/>
        </w:rPr>
        <w:t>3.4  Masquage statique vs dynamique</w:t>
      </w:r>
    </w:p>
    <w:p>
      <w:pPr>
        <w:pStyle w:val="ListBullet"/>
        <w:ind w:left="283"/>
      </w:pPr>
      <w:r/>
      <w:r>
        <w:rPr>
          <w:sz w:val="22"/>
        </w:rPr>
        <w:t>Statique — création d'une copie masquée définitive (pour environnements test/dev)</w:t>
      </w:r>
    </w:p>
    <w:p>
      <w:pPr>
        <w:pStyle w:val="ListBullet"/>
        <w:ind w:left="283"/>
      </w:pPr>
      <w:r/>
      <w:r>
        <w:rPr>
          <w:sz w:val="22"/>
        </w:rPr>
        <w:t>Dynamique — données masquées à la volée selon profil utilisateur (RLS, vues, colonne)</w:t>
      </w:r>
    </w:p>
    <w:p>
      <w:pPr>
        <w:pStyle w:val="ListBullet"/>
        <w:ind w:left="283"/>
      </w:pPr>
      <w:r/>
      <w:r>
        <w:rPr>
          <w:sz w:val="22"/>
        </w:rPr>
        <w:t>Static est plus simple, dynamic plus flexible mais plus complexe</w:t>
      </w:r>
    </w:p>
    <w:p>
      <w:pPr>
        <w:keepNext/>
        <w:spacing w:before="360" w:after="160"/>
        <w:pBdr>
          <w:bottom w:val="single" w:sz="6" w:color="C9A961"/>
        </w:pBdr>
      </w:pPr>
      <w:r>
        <w:rPr>
          <w:b/>
          <w:color w:val="1F3A5F"/>
          <w:sz w:val="32"/>
        </w:rPr>
        <w:t>4  Cas d'usage par contexte</w:t>
      </w:r>
    </w:p>
    <w:p>
      <w:pPr>
        <w:keepNext/>
        <w:spacing w:before="280" w:after="120"/>
      </w:pPr>
      <w:r>
        <w:rPr>
          <w:b/>
          <w:color w:val="1F3A5F"/>
          <w:sz w:val="26"/>
        </w:rPr>
        <w:t>4.1  Environnement de développement / test</w:t>
      </w:r>
    </w:p>
    <w:p>
      <w:pPr>
        <w:pStyle w:val="ListBullet"/>
        <w:ind w:left="283"/>
      </w:pPr>
      <w:r/>
      <w:r>
        <w:rPr>
          <w:sz w:val="22"/>
        </w:rPr>
        <w:t>INTERDIT : utilisation de DCP réelles en environnements non-production</w:t>
      </w:r>
    </w:p>
    <w:p>
      <w:pPr>
        <w:pStyle w:val="ListBullet"/>
        <w:ind w:left="283"/>
      </w:pPr>
      <w:r/>
      <w:r>
        <w:rPr>
          <w:sz w:val="22"/>
        </w:rPr>
        <w:t>Solution : génération de données synthétiques OU masquage statique de la base de production</w:t>
      </w:r>
    </w:p>
    <w:p>
      <w:pPr>
        <w:pStyle w:val="ListBullet"/>
        <w:ind w:left="283"/>
      </w:pPr>
      <w:r/>
      <w:r>
        <w:rPr>
          <w:sz w:val="22"/>
        </w:rPr>
        <w:t>Outils : Snowflake DataMask, Microsoft SQL Server Data Masking, Delphix, Mockaroo</w:t>
      </w:r>
    </w:p>
    <w:p>
      <w:pPr>
        <w:pStyle w:val="ListBullet"/>
        <w:ind w:left="283"/>
      </w:pPr>
      <w:r/>
      <w:r>
        <w:rPr>
          <w:sz w:val="22"/>
        </w:rPr>
        <w:t>Rafraîchissement périodique des bases test (mensuel ou trimestriel selon besoin)</w:t>
      </w:r>
    </w:p>
    <w:p>
      <w:pPr>
        <w:keepNext/>
        <w:spacing w:before="280" w:after="120"/>
      </w:pPr>
      <w:r>
        <w:rPr>
          <w:b/>
          <w:color w:val="1F3A5F"/>
          <w:sz w:val="26"/>
        </w:rPr>
        <w:t>4.2  Analytics et BI</w:t>
      </w:r>
    </w:p>
    <w:p>
      <w:pPr>
        <w:pStyle w:val="ListBullet"/>
        <w:ind w:left="283"/>
      </w:pPr>
      <w:r/>
      <w:r>
        <w:rPr>
          <w:sz w:val="22"/>
        </w:rPr>
        <w:t>Anonymisation des datasets exposés à des publics larges (analytics, dashboards, OpenData)</w:t>
      </w:r>
    </w:p>
    <w:p>
      <w:pPr>
        <w:pStyle w:val="ListBullet"/>
        <w:ind w:left="283"/>
      </w:pPr>
      <w:r/>
      <w:r>
        <w:rPr>
          <w:sz w:val="22"/>
        </w:rPr>
        <w:t>Application des critères k-anonymat (k ≥ 5) et l-diversité</w:t>
      </w:r>
    </w:p>
    <w:p>
      <w:pPr>
        <w:pStyle w:val="ListBullet"/>
        <w:ind w:left="283"/>
      </w:pPr>
      <w:r/>
      <w:r>
        <w:rPr>
          <w:sz w:val="22"/>
        </w:rPr>
        <w:t>Validation DPO pour chaque nouveau dataset anonymisé</w:t>
      </w:r>
    </w:p>
    <w:p>
      <w:pPr>
        <w:pStyle w:val="ListBullet"/>
        <w:ind w:left="283"/>
      </w:pPr>
      <w:r/>
      <w:r>
        <w:rPr>
          <w:sz w:val="22"/>
        </w:rPr>
        <w:t>Surveillance des risques de ré-identification par croisement</w:t>
      </w:r>
    </w:p>
    <w:p>
      <w:pPr>
        <w:keepNext/>
        <w:spacing w:before="280" w:after="120"/>
      </w:pPr>
      <w:r>
        <w:rPr>
          <w:b/>
          <w:color w:val="1F3A5F"/>
          <w:sz w:val="26"/>
        </w:rPr>
        <w:t>4.3  Conformité PCI-DSS</w:t>
      </w:r>
    </w:p>
    <w:p>
      <w:pPr>
        <w:pStyle w:val="ListBullet"/>
        <w:ind w:left="283"/>
      </w:pPr>
      <w:r/>
      <w:r>
        <w:rPr>
          <w:sz w:val="22"/>
        </w:rPr>
        <w:t>PAN (Primary Account Number) : tokenisation systématique hors flux d'autorisation</w:t>
      </w:r>
    </w:p>
    <w:p>
      <w:pPr>
        <w:pStyle w:val="ListBullet"/>
        <w:ind w:left="283"/>
      </w:pPr>
      <w:r/>
      <w:r>
        <w:rPr>
          <w:sz w:val="22"/>
        </w:rPr>
        <w:t>Affichage : 6 premiers et 4 derniers chiffres maximum (BIN + last4)</w:t>
      </w:r>
    </w:p>
    <w:p>
      <w:pPr>
        <w:pStyle w:val="ListBullet"/>
        <w:ind w:left="283"/>
      </w:pPr>
      <w:r/>
      <w:r>
        <w:rPr>
          <w:sz w:val="22"/>
        </w:rPr>
        <w:t>Stockage du PAN clair interdit hors enclave PCI certifiée</w:t>
      </w:r>
    </w:p>
    <w:p>
      <w:pPr>
        <w:pStyle w:val="ListBullet"/>
        <w:ind w:left="283"/>
      </w:pPr>
      <w:r/>
      <w:r>
        <w:rPr>
          <w:sz w:val="22"/>
        </w:rPr>
        <w:t>Outils : Stripe Connect, Adyen, PCI Vault, BlueSnap</w:t>
      </w:r>
    </w:p>
    <w:p>
      <w:pPr>
        <w:keepNext/>
        <w:spacing w:before="360" w:after="160"/>
        <w:pBdr>
          <w:bottom w:val="single" w:sz="6" w:color="C9A961"/>
        </w:pBdr>
      </w:pPr>
      <w:r>
        <w:rPr>
          <w:b/>
          <w:color w:val="1F3A5F"/>
          <w:sz w:val="32"/>
        </w:rPr>
        <w:t>5  Techniques d'anonymisation RGPD</w:t>
      </w:r>
    </w:p>
    <w:p>
      <w:pPr>
        <w:keepNext/>
        <w:spacing w:before="280" w:after="120"/>
      </w:pPr>
      <w:r>
        <w:rPr>
          <w:b/>
          <w:color w:val="1F3A5F"/>
          <w:sz w:val="26"/>
        </w:rPr>
        <w:t>5.1  k-anonymat</w:t>
      </w:r>
    </w:p>
    <w:p>
      <w:pPr>
        <w:jc w:val="both"/>
      </w:pPr>
      <w:r>
        <w:rPr>
          <w:b w:val="0"/>
          <w:i w:val="0"/>
          <w:sz w:val="22"/>
        </w:rPr>
        <w:t>Un dataset respecte le k-anonymat si chaque combinaison de quasi-identifiants apparaît au moins k fois. Plus k est grand, plus l'anonymisation est forte.</w:t>
      </w:r>
    </w:p>
    <w:p>
      <w:pPr>
        <w:pStyle w:val="ListBullet"/>
        <w:ind w:left="283"/>
      </w:pPr>
      <w:r/>
      <w:r>
        <w:rPr>
          <w:sz w:val="22"/>
        </w:rPr>
        <w:t>Recommandation organisationnelle : k ≥ 5 minimum (k ≥ 10 pour datasets publics)</w:t>
      </w:r>
    </w:p>
    <w:p>
      <w:pPr>
        <w:pStyle w:val="ListBullet"/>
        <w:ind w:left="283"/>
      </w:pPr>
      <w:r/>
      <w:r>
        <w:rPr>
          <w:sz w:val="22"/>
        </w:rPr>
        <w:t>Techniques applicables : généralisation (âge → tranche), suppression, agrégation</w:t>
      </w:r>
    </w:p>
    <w:p>
      <w:pPr>
        <w:keepNext/>
        <w:spacing w:before="280" w:after="120"/>
      </w:pPr>
      <w:r>
        <w:rPr>
          <w:b/>
          <w:color w:val="1F3A5F"/>
          <w:sz w:val="26"/>
        </w:rPr>
        <w:t>5.2  l-diversité et t-proximité</w:t>
      </w:r>
    </w:p>
    <w:p>
      <w:pPr>
        <w:pStyle w:val="ListBullet"/>
        <w:ind w:left="283"/>
      </w:pPr>
      <w:r/>
      <w:r>
        <w:rPr>
          <w:sz w:val="22"/>
        </w:rPr>
        <w:t>l-diversité — chaque groupe k-anonyme contient au moins l valeurs distinctes pour les attributs sensibles</w:t>
      </w:r>
    </w:p>
    <w:p>
      <w:pPr>
        <w:pStyle w:val="ListBullet"/>
        <w:ind w:left="283"/>
      </w:pPr>
      <w:r/>
      <w:r>
        <w:rPr>
          <w:sz w:val="22"/>
        </w:rPr>
        <w:t>t-proximité — la distribution des attributs sensibles dans chaque groupe est proche de la distribution globale</w:t>
      </w:r>
    </w:p>
    <w:p>
      <w:pPr>
        <w:pStyle w:val="ListBullet"/>
        <w:ind w:left="283"/>
      </w:pPr>
      <w:r/>
      <w:r>
        <w:rPr>
          <w:sz w:val="22"/>
        </w:rPr>
        <w:t>Permet de résister aux attaques par homogénéité et par background knowledge</w:t>
      </w:r>
    </w:p>
    <w:p>
      <w:pPr>
        <w:keepNext/>
        <w:spacing w:before="280" w:after="120"/>
      </w:pPr>
      <w:r>
        <w:rPr>
          <w:b/>
          <w:color w:val="1F3A5F"/>
          <w:sz w:val="26"/>
        </w:rPr>
        <w:t>5.3  Différentiation privacy</w:t>
      </w:r>
    </w:p>
    <w:p>
      <w:pPr>
        <w:pStyle w:val="ListBullet"/>
        <w:ind w:left="283"/>
      </w:pPr>
      <w:r/>
      <w:r>
        <w:rPr>
          <w:sz w:val="22"/>
        </w:rPr>
        <w:t>Ajout de bruit calibré pour masquer la contribution individuelle</w:t>
      </w:r>
    </w:p>
    <w:p>
      <w:pPr>
        <w:pStyle w:val="ListBullet"/>
        <w:ind w:left="283"/>
      </w:pPr>
      <w:r/>
      <w:r>
        <w:rPr>
          <w:sz w:val="22"/>
        </w:rPr>
        <w:t>Paramètre ε (epsilon) — plus petit = plus privé, mais moins utile</w:t>
      </w:r>
    </w:p>
    <w:p>
      <w:pPr>
        <w:pStyle w:val="ListBullet"/>
        <w:ind w:left="283"/>
      </w:pPr>
      <w:r/>
      <w:r>
        <w:rPr>
          <w:sz w:val="22"/>
        </w:rPr>
        <w:t>Adapté aux datasets agrégés statistiques (recensement, dashboards)</w:t>
      </w:r>
    </w:p>
    <w:p>
      <w:pPr>
        <w:pStyle w:val="ListBullet"/>
        <w:ind w:left="283"/>
      </w:pPr>
      <w:r/>
      <w:r>
        <w:rPr>
          <w:sz w:val="22"/>
        </w:rPr>
        <w:t>Bibliothèques : Google Differential Privacy, OpenDP, IBM Diffprivlib</w:t>
      </w:r>
    </w:p>
    <w:p>
      <w:pPr>
        <w:keepNext/>
        <w:spacing w:before="360" w:after="160"/>
        <w:pBdr>
          <w:bottom w:val="single" w:sz="6" w:color="C9A961"/>
        </w:pBdr>
      </w:pPr>
      <w:r>
        <w:rPr>
          <w:b/>
          <w:color w:val="1F3A5F"/>
          <w:sz w:val="32"/>
        </w:rPr>
        <w:t>6  Outils approuvés</w:t>
      </w:r>
    </w:p>
    <w:tbl>
      <w:tblPr>
        <w:tblW w:type="auto" w:w="0"/>
        <w:jc w:val="center"/>
        <w:tblLook w:firstColumn="1" w:firstRow="1" w:lastColumn="0" w:lastRow="0" w:noHBand="0" w:noVBand="1" w:val="04A0"/>
      </w:tblPr>
      <w:tblGrid>
        <w:gridCol w:w="3324"/>
        <w:gridCol w:w="3324"/>
        <w:gridCol w:w="3324"/>
      </w:tblGrid>
      <w:tr>
        <w:tc>
          <w:tcPr>
            <w:tcW w:type="dxa" w:w="2268"/>
            <w:shd w:fill="1F3A5F" w:val="clear"/>
            <w:tcBorders>
              <w:top w:val="single" w:sz="8" w:color="1F3A5F"/>
              <w:left w:val="single" w:sz="8" w:color="1F3A5F"/>
              <w:bottom w:val="single" w:sz="8" w:color="1F3A5F"/>
              <w:right w:val="single" w:sz="8" w:color="1F3A5F"/>
            </w:tcBorders>
          </w:tcPr>
          <w:p>
            <w:pPr>
              <w:jc w:val="center"/>
            </w:pPr>
            <w:r/>
            <w:r>
              <w:rPr>
                <w:b/>
                <w:color w:val="FFFFFF"/>
                <w:sz w:val="20"/>
              </w:rPr>
              <w:t>Catégorie</w:t>
            </w:r>
          </w:p>
        </w:tc>
        <w:tc>
          <w:tcPr>
            <w:tcW w:type="dxa" w:w="3402"/>
            <w:shd w:fill="1F3A5F" w:val="clear"/>
            <w:tcBorders>
              <w:top w:val="single" w:sz="8" w:color="1F3A5F"/>
              <w:left w:val="single" w:sz="8" w:color="1F3A5F"/>
              <w:bottom w:val="single" w:sz="8" w:color="1F3A5F"/>
              <w:right w:val="single" w:sz="8" w:color="1F3A5F"/>
            </w:tcBorders>
          </w:tcPr>
          <w:p>
            <w:pPr>
              <w:jc w:val="center"/>
            </w:pPr>
            <w:r/>
            <w:r>
              <w:rPr>
                <w:b/>
                <w:color w:val="FFFFFF"/>
                <w:sz w:val="20"/>
              </w:rPr>
              <w:t>Outils OSS</w:t>
            </w:r>
          </w:p>
        </w:tc>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Outils éditeur</w:t>
            </w:r>
          </w:p>
        </w:tc>
      </w:tr>
      <w:tr>
        <w:tc>
          <w:tcPr>
            <w:tcW w:type="dxa" w:w="2268"/>
            <w:tcBorders>
              <w:top w:val="single" w:sz="6" w:color="999999"/>
              <w:left w:val="single" w:sz="6" w:color="999999"/>
              <w:bottom w:val="single" w:sz="6" w:color="999999"/>
              <w:right w:val="single" w:sz="6" w:color="999999"/>
            </w:tcBorders>
          </w:tcPr>
          <w:p>
            <w:r/>
            <w:r>
              <w:rPr>
                <w:sz w:val="20"/>
              </w:rPr>
              <w:t>Masquage SQL</w:t>
            </w:r>
          </w:p>
        </w:tc>
        <w:tc>
          <w:tcPr>
            <w:tcW w:type="dxa" w:w="3402"/>
            <w:tcBorders>
              <w:top w:val="single" w:sz="6" w:color="999999"/>
              <w:left w:val="single" w:sz="6" w:color="999999"/>
              <w:bottom w:val="single" w:sz="6" w:color="999999"/>
              <w:right w:val="single" w:sz="6" w:color="999999"/>
            </w:tcBorders>
          </w:tcPr>
          <w:p>
            <w:r/>
            <w:r>
              <w:rPr>
                <w:sz w:val="20"/>
              </w:rPr>
              <w:t>PostgreSQL anonymizer, MySQL Mask</w:t>
            </w:r>
          </w:p>
        </w:tc>
        <w:tc>
          <w:tcPr>
            <w:tcW w:type="dxa" w:w="2835"/>
            <w:tcBorders>
              <w:top w:val="single" w:sz="6" w:color="999999"/>
              <w:left w:val="single" w:sz="6" w:color="999999"/>
              <w:bottom w:val="single" w:sz="6" w:color="999999"/>
              <w:right w:val="single" w:sz="6" w:color="999999"/>
            </w:tcBorders>
          </w:tcPr>
          <w:p>
            <w:r/>
            <w:r>
              <w:rPr>
                <w:sz w:val="20"/>
              </w:rPr>
              <w:t>Delphix, Informatica, IBM Optim</w:t>
            </w:r>
          </w:p>
        </w:tc>
      </w:tr>
      <w:tr>
        <w:tc>
          <w:tcPr>
            <w:tcW w:type="dxa" w:w="2268"/>
            <w:shd w:fill="F8F6F0" w:val="clear"/>
            <w:tcBorders>
              <w:top w:val="single" w:sz="6" w:color="999999"/>
              <w:left w:val="single" w:sz="6" w:color="999999"/>
              <w:bottom w:val="single" w:sz="6" w:color="999999"/>
              <w:right w:val="single" w:sz="6" w:color="999999"/>
            </w:tcBorders>
          </w:tcPr>
          <w:p>
            <w:r/>
            <w:r>
              <w:rPr>
                <w:sz w:val="20"/>
              </w:rPr>
              <w:t>Tokenisation</w:t>
            </w:r>
          </w:p>
        </w:tc>
        <w:tc>
          <w:tcPr>
            <w:tcW w:type="dxa" w:w="3402"/>
            <w:shd w:fill="F8F6F0" w:val="clear"/>
            <w:tcBorders>
              <w:top w:val="single" w:sz="6" w:color="999999"/>
              <w:left w:val="single" w:sz="6" w:color="999999"/>
              <w:bottom w:val="single" w:sz="6" w:color="999999"/>
              <w:right w:val="single" w:sz="6" w:color="999999"/>
            </w:tcBorders>
          </w:tcPr>
          <w:p>
            <w:r/>
            <w:r>
              <w:rPr>
                <w:sz w:val="20"/>
              </w:rPr>
              <w:t>Vault by HashiCorp</w:t>
            </w:r>
          </w:p>
        </w:tc>
        <w:tc>
          <w:tcPr>
            <w:tcW w:type="dxa" w:w="2835"/>
            <w:shd w:fill="F8F6F0" w:val="clear"/>
            <w:tcBorders>
              <w:top w:val="single" w:sz="6" w:color="999999"/>
              <w:left w:val="single" w:sz="6" w:color="999999"/>
              <w:bottom w:val="single" w:sz="6" w:color="999999"/>
              <w:right w:val="single" w:sz="6" w:color="999999"/>
            </w:tcBorders>
          </w:tcPr>
          <w:p>
            <w:r/>
            <w:r>
              <w:rPr>
                <w:sz w:val="20"/>
              </w:rPr>
              <w:t>Protegrity, Thales CipherTrust, MikroDB</w:t>
            </w:r>
          </w:p>
        </w:tc>
      </w:tr>
      <w:tr>
        <w:tc>
          <w:tcPr>
            <w:tcW w:type="dxa" w:w="2268"/>
            <w:tcBorders>
              <w:top w:val="single" w:sz="6" w:color="999999"/>
              <w:left w:val="single" w:sz="6" w:color="999999"/>
              <w:bottom w:val="single" w:sz="6" w:color="999999"/>
              <w:right w:val="single" w:sz="6" w:color="999999"/>
            </w:tcBorders>
          </w:tcPr>
          <w:p>
            <w:r/>
            <w:r>
              <w:rPr>
                <w:sz w:val="20"/>
              </w:rPr>
              <w:t>Anonymisation statistique</w:t>
            </w:r>
          </w:p>
        </w:tc>
        <w:tc>
          <w:tcPr>
            <w:tcW w:type="dxa" w:w="3402"/>
            <w:tcBorders>
              <w:top w:val="single" w:sz="6" w:color="999999"/>
              <w:left w:val="single" w:sz="6" w:color="999999"/>
              <w:bottom w:val="single" w:sz="6" w:color="999999"/>
              <w:right w:val="single" w:sz="6" w:color="999999"/>
            </w:tcBorders>
          </w:tcPr>
          <w:p>
            <w:r/>
            <w:r>
              <w:rPr>
                <w:sz w:val="20"/>
              </w:rPr>
              <w:t>ARX Data Anonymization Tool, sdcMicro (R), Amnesia</w:t>
            </w:r>
          </w:p>
        </w:tc>
        <w:tc>
          <w:tcPr>
            <w:tcW w:type="dxa" w:w="2835"/>
            <w:tcBorders>
              <w:top w:val="single" w:sz="6" w:color="999999"/>
              <w:left w:val="single" w:sz="6" w:color="999999"/>
              <w:bottom w:val="single" w:sz="6" w:color="999999"/>
              <w:right w:val="single" w:sz="6" w:color="999999"/>
            </w:tcBorders>
          </w:tcPr>
          <w:p>
            <w:r/>
            <w:r>
              <w:rPr>
                <w:sz w:val="20"/>
              </w:rPr>
              <w:t>Privitar, IBM InfoSphere</w:t>
            </w:r>
          </w:p>
        </w:tc>
      </w:tr>
      <w:tr>
        <w:tc>
          <w:tcPr>
            <w:tcW w:type="dxa" w:w="2268"/>
            <w:shd w:fill="F8F6F0" w:val="clear"/>
            <w:tcBorders>
              <w:top w:val="single" w:sz="6" w:color="999999"/>
              <w:left w:val="single" w:sz="6" w:color="999999"/>
              <w:bottom w:val="single" w:sz="6" w:color="999999"/>
              <w:right w:val="single" w:sz="6" w:color="999999"/>
            </w:tcBorders>
          </w:tcPr>
          <w:p>
            <w:r/>
            <w:r>
              <w:rPr>
                <w:sz w:val="20"/>
              </w:rPr>
              <w:t>Données synthétiques</w:t>
            </w:r>
          </w:p>
        </w:tc>
        <w:tc>
          <w:tcPr>
            <w:tcW w:type="dxa" w:w="3402"/>
            <w:shd w:fill="F8F6F0" w:val="clear"/>
            <w:tcBorders>
              <w:top w:val="single" w:sz="6" w:color="999999"/>
              <w:left w:val="single" w:sz="6" w:color="999999"/>
              <w:bottom w:val="single" w:sz="6" w:color="999999"/>
              <w:right w:val="single" w:sz="6" w:color="999999"/>
            </w:tcBorders>
          </w:tcPr>
          <w:p>
            <w:r/>
            <w:r>
              <w:rPr>
                <w:sz w:val="20"/>
              </w:rPr>
              <w:t>SDV (Synthetic Data Vault), Faker, Mockaroo</w:t>
            </w:r>
          </w:p>
        </w:tc>
        <w:tc>
          <w:tcPr>
            <w:tcW w:type="dxa" w:w="2835"/>
            <w:shd w:fill="F8F6F0" w:val="clear"/>
            <w:tcBorders>
              <w:top w:val="single" w:sz="6" w:color="999999"/>
              <w:left w:val="single" w:sz="6" w:color="999999"/>
              <w:bottom w:val="single" w:sz="6" w:color="999999"/>
              <w:right w:val="single" w:sz="6" w:color="999999"/>
            </w:tcBorders>
          </w:tcPr>
          <w:p>
            <w:r/>
            <w:r>
              <w:rPr>
                <w:sz w:val="20"/>
              </w:rPr>
              <w:t>Tonic.ai, Gretel.ai, MOSTLY AI</w:t>
            </w:r>
          </w:p>
        </w:tc>
      </w:tr>
      <w:tr>
        <w:tc>
          <w:tcPr>
            <w:tcW w:type="dxa" w:w="2268"/>
            <w:tcBorders>
              <w:top w:val="single" w:sz="6" w:color="999999"/>
              <w:left w:val="single" w:sz="6" w:color="999999"/>
              <w:bottom w:val="single" w:sz="6" w:color="999999"/>
              <w:right w:val="single" w:sz="6" w:color="999999"/>
            </w:tcBorders>
          </w:tcPr>
          <w:p>
            <w:r/>
            <w:r>
              <w:rPr>
                <w:sz w:val="20"/>
              </w:rPr>
              <w:t>Différentiation privacy</w:t>
            </w:r>
          </w:p>
        </w:tc>
        <w:tc>
          <w:tcPr>
            <w:tcW w:type="dxa" w:w="3402"/>
            <w:tcBorders>
              <w:top w:val="single" w:sz="6" w:color="999999"/>
              <w:left w:val="single" w:sz="6" w:color="999999"/>
              <w:bottom w:val="single" w:sz="6" w:color="999999"/>
              <w:right w:val="single" w:sz="6" w:color="999999"/>
            </w:tcBorders>
          </w:tcPr>
          <w:p>
            <w:r/>
            <w:r>
              <w:rPr>
                <w:sz w:val="20"/>
              </w:rPr>
              <w:t>Google DP Library, OpenDP, Diffprivlib</w:t>
            </w:r>
          </w:p>
        </w:tc>
        <w:tc>
          <w:tcPr>
            <w:tcW w:type="dxa" w:w="2835"/>
            <w:tcBorders>
              <w:top w:val="single" w:sz="6" w:color="999999"/>
              <w:left w:val="single" w:sz="6" w:color="999999"/>
              <w:bottom w:val="single" w:sz="6" w:color="999999"/>
              <w:right w:val="single" w:sz="6" w:color="999999"/>
            </w:tcBorders>
          </w:tcPr>
          <w:p>
            <w:r/>
            <w:r>
              <w:rPr>
                <w:sz w:val="20"/>
              </w:rPr>
              <w:t>Privitar, Tonic.ai</w:t>
            </w:r>
          </w:p>
        </w:tc>
      </w:tr>
      <w:tr>
        <w:tc>
          <w:tcPr>
            <w:tcW w:type="dxa" w:w="2268"/>
            <w:shd w:fill="F8F6F0" w:val="clear"/>
            <w:tcBorders>
              <w:top w:val="single" w:sz="6" w:color="999999"/>
              <w:left w:val="single" w:sz="6" w:color="999999"/>
              <w:bottom w:val="single" w:sz="6" w:color="999999"/>
              <w:right w:val="single" w:sz="6" w:color="999999"/>
            </w:tcBorders>
          </w:tcPr>
          <w:p>
            <w:r/>
            <w:r>
              <w:rPr>
                <w:sz w:val="20"/>
              </w:rPr>
              <w:t>Masquage M365</w:t>
            </w:r>
          </w:p>
        </w:tc>
        <w:tc>
          <w:tcPr>
            <w:tcW w:type="dxa" w:w="3402"/>
            <w:shd w:fill="F8F6F0" w:val="clear"/>
            <w:tcBorders>
              <w:top w:val="single" w:sz="6" w:color="999999"/>
              <w:left w:val="single" w:sz="6" w:color="999999"/>
              <w:bottom w:val="single" w:sz="6" w:color="999999"/>
              <w:right w:val="single" w:sz="6" w:color="999999"/>
            </w:tcBorders>
          </w:tcPr>
          <w:p>
            <w:r/>
            <w:r>
              <w:rPr>
                <w:sz w:val="20"/>
              </w:rPr>
              <w:t>Microsoft Purview Information Protection labels</w:t>
            </w:r>
          </w:p>
        </w:tc>
        <w:tc>
          <w:tcPr>
            <w:tcW w:type="dxa" w:w="2835"/>
            <w:shd w:fill="F8F6F0" w:val="clear"/>
            <w:tcBorders>
              <w:top w:val="single" w:sz="6" w:color="999999"/>
              <w:left w:val="single" w:sz="6" w:color="999999"/>
              <w:bottom w:val="single" w:sz="6" w:color="999999"/>
              <w:right w:val="single" w:sz="6" w:color="999999"/>
            </w:tcBorders>
          </w:tcPr>
          <w:p>
            <w:r/>
            <w:r>
              <w:rPr>
                <w:sz w:val="20"/>
              </w:rPr>
              <w:t>Varonis, BigID</w:t>
            </w:r>
          </w:p>
        </w:tc>
      </w:tr>
    </w:tbl>
    <w:p>
      <w:pPr>
        <w:keepNext/>
        <w:spacing w:before="360" w:after="160"/>
        <w:pBdr>
          <w:bottom w:val="single" w:sz="6" w:color="C9A961"/>
        </w:pBdr>
      </w:pPr>
      <w:r>
        <w:rPr>
          <w:b/>
          <w:color w:val="1F3A5F"/>
          <w:sz w:val="32"/>
        </w:rPr>
        <w:t>7  Workflow opérationnel</w:t>
      </w:r>
    </w:p>
    <w:p>
      <w:pPr>
        <w:pStyle w:val="ListNumber"/>
      </w:pPr>
      <w:r>
        <w:rPr>
          <w:sz w:val="22"/>
        </w:rPr>
        <w:t>Identification du besoin et du dataset à traiter (Owner application + équipe data)</w:t>
      </w:r>
    </w:p>
    <w:p>
      <w:pPr>
        <w:pStyle w:val="ListNumber"/>
      </w:pPr>
      <w:r>
        <w:rPr>
          <w:sz w:val="22"/>
        </w:rPr>
        <w:t>Analyse de risque préliminaire — finalité, public, exposition, criticité</w:t>
      </w:r>
    </w:p>
    <w:p>
      <w:pPr>
        <w:pStyle w:val="ListNumber"/>
      </w:pPr>
      <w:r>
        <w:rPr>
          <w:sz w:val="22"/>
        </w:rPr>
        <w:t>Choix de la technique (pseudonymisation, anonymisation, tokenisation) — validation RSSI + DPO</w:t>
      </w:r>
    </w:p>
    <w:p>
      <w:pPr>
        <w:pStyle w:val="ListNumber"/>
      </w:pPr>
      <w:r>
        <w:rPr>
          <w:sz w:val="22"/>
        </w:rPr>
        <w:t>Définition des règles de transformation par champ (mapping)</w:t>
      </w:r>
    </w:p>
    <w:p>
      <w:pPr>
        <w:pStyle w:val="ListNumber"/>
      </w:pPr>
      <w:r>
        <w:rPr>
          <w:sz w:val="22"/>
        </w:rPr>
        <w:t>Implémentation et tests fonctionnels (intégrité référentielle, utilité analytique)</w:t>
      </w:r>
    </w:p>
    <w:p>
      <w:pPr>
        <w:pStyle w:val="ListNumber"/>
      </w:pPr>
      <w:r>
        <w:rPr>
          <w:sz w:val="22"/>
        </w:rPr>
        <w:t>Tests de ré-identification (red team interne ou outil dédié)</w:t>
      </w:r>
    </w:p>
    <w:p>
      <w:pPr>
        <w:pStyle w:val="ListNumber"/>
      </w:pPr>
      <w:r>
        <w:rPr>
          <w:sz w:val="22"/>
        </w:rPr>
        <w:t>Validation DPO et documentation (template anonymization report)</w:t>
      </w:r>
    </w:p>
    <w:p>
      <w:pPr>
        <w:pStyle w:val="ListNumber"/>
      </w:pPr>
      <w:r>
        <w:rPr>
          <w:sz w:val="22"/>
        </w:rPr>
        <w:t>Mise en production avec journalisation de la transformation</w:t>
      </w:r>
    </w:p>
    <w:p>
      <w:pPr>
        <w:pStyle w:val="ListNumber"/>
      </w:pPr>
      <w:r>
        <w:rPr>
          <w:sz w:val="22"/>
        </w:rPr>
        <w:t>Revue annuelle des risques de ré-identification (évolution datasets externes)</w:t>
      </w:r>
    </w:p>
    <w:p>
      <w:pPr>
        <w:keepNext/>
        <w:spacing w:before="360" w:after="160"/>
        <w:pBdr>
          <w:bottom w:val="single" w:sz="6" w:color="C9A961"/>
        </w:pBdr>
      </w:pPr>
      <w:r>
        <w:rPr>
          <w:b/>
          <w:color w:val="1F3A5F"/>
          <w:sz w:val="32"/>
        </w:rPr>
        <w:t>8  Validation DPO</w:t>
      </w:r>
    </w:p>
    <w:p>
      <w:pPr>
        <w:jc w:val="both"/>
      </w:pPr>
      <w:r>
        <w:rPr>
          <w:b w:val="0"/>
          <w:i w:val="0"/>
          <w:sz w:val="22"/>
        </w:rPr>
        <w:t>Le DPO valide formellement les opérations d'anonymisation suivantes :</w:t>
      </w:r>
    </w:p>
    <w:p>
      <w:pPr>
        <w:pStyle w:val="ListBullet"/>
        <w:ind w:left="283"/>
      </w:pPr>
      <w:r/>
      <w:r>
        <w:rPr>
          <w:sz w:val="22"/>
        </w:rPr>
        <w:t>Tout nouveau dataset destiné à un public externe (clients, partenaires, OpenData)</w:t>
      </w:r>
    </w:p>
    <w:p>
      <w:pPr>
        <w:pStyle w:val="ListBullet"/>
        <w:ind w:left="283"/>
      </w:pPr>
      <w:r/>
      <w:r>
        <w:rPr>
          <w:sz w:val="22"/>
        </w:rPr>
        <w:t>Toute évolution majeure du périmètre (nouveaux champs, nouvelle finalité)</w:t>
      </w:r>
    </w:p>
    <w:p>
      <w:pPr>
        <w:pStyle w:val="ListBullet"/>
        <w:ind w:left="283"/>
      </w:pPr>
      <w:r/>
      <w:r>
        <w:rPr>
          <w:sz w:val="22"/>
        </w:rPr>
        <w:t>Tout dataset utilisé pour entraîner un modèle d'IA</w:t>
      </w:r>
    </w:p>
    <w:p>
      <w:pPr>
        <w:pStyle w:val="ListBullet"/>
        <w:ind w:left="283"/>
      </w:pPr>
      <w:r/>
      <w:r>
        <w:rPr>
          <w:sz w:val="22"/>
        </w:rPr>
        <w:t>Tout transfert hors EEE d'un dataset anonymisé</w:t>
      </w:r>
    </w:p>
    <w:p>
      <w:pPr>
        <w:pStyle w:val="ListBullet"/>
        <w:ind w:left="283"/>
      </w:pPr>
      <w:r/>
      <w:r>
        <w:rPr>
          <w:sz w:val="22"/>
        </w:rPr>
        <w:t>Validation par échantillonnage et tests de ré-identification (k-anonymat, l-diversité)</w:t>
      </w:r>
    </w:p>
    <w:p>
      <w:pPr>
        <w:keepNext/>
        <w:spacing w:before="360" w:after="160"/>
        <w:pBdr>
          <w:bottom w:val="single" w:sz="6" w:color="C9A961"/>
        </w:pBdr>
      </w:pPr>
      <w:r>
        <w:rPr>
          <w:b/>
          <w:color w:val="1F3A5F"/>
          <w:sz w:val="32"/>
        </w:rPr>
        <w:t>9  Indicateurs et reporting</w:t>
      </w:r>
    </w:p>
    <w:tbl>
      <w:tblPr>
        <w:tblW w:type="auto" w:w="0"/>
        <w:jc w:val="center"/>
        <w:tblLook w:firstColumn="1" w:firstRow="1" w:lastColumn="0" w:lastRow="0" w:noHBand="0" w:noVBand="1" w:val="04A0"/>
      </w:tblPr>
      <w:tblGrid>
        <w:gridCol w:w="4986"/>
        <w:gridCol w:w="4986"/>
      </w:tblGrid>
      <w:tr>
        <w:tc>
          <w:tcPr>
            <w:tcW w:type="dxa" w:w="5669"/>
            <w:shd w:fill="1F3A5F" w:val="clear"/>
            <w:tcBorders>
              <w:top w:val="single" w:sz="8" w:color="1F3A5F"/>
              <w:left w:val="single" w:sz="8" w:color="1F3A5F"/>
              <w:bottom w:val="single" w:sz="8" w:color="1F3A5F"/>
              <w:right w:val="single" w:sz="8" w:color="1F3A5F"/>
            </w:tcBorders>
          </w:tcPr>
          <w:p>
            <w:pPr>
              <w:jc w:val="center"/>
            </w:pPr>
            <w:r/>
            <w:r>
              <w:rPr>
                <w:b/>
                <w:color w:val="FFFFFF"/>
                <w:sz w:val="20"/>
              </w:rPr>
              <w:t>Indicateur</w:t>
            </w:r>
          </w:p>
        </w:tc>
        <w:tc>
          <w:tcPr>
            <w:tcW w:type="dxa" w:w="2835"/>
            <w:shd w:fill="1F3A5F" w:val="clear"/>
            <w:tcBorders>
              <w:top w:val="single" w:sz="8" w:color="1F3A5F"/>
              <w:left w:val="single" w:sz="8" w:color="1F3A5F"/>
              <w:bottom w:val="single" w:sz="8" w:color="1F3A5F"/>
              <w:right w:val="single" w:sz="8" w:color="1F3A5F"/>
            </w:tcBorders>
          </w:tcPr>
          <w:p>
            <w:pPr>
              <w:jc w:val="center"/>
            </w:pPr>
            <w:r/>
            <w:r>
              <w:rPr>
                <w:b/>
                <w:color w:val="FFFFFF"/>
                <w:sz w:val="20"/>
              </w:rPr>
              <w:t>Cible</w:t>
            </w:r>
          </w:p>
        </w:tc>
      </w:tr>
      <w:tr>
        <w:tc>
          <w:tcPr>
            <w:tcW w:type="dxa" w:w="5669"/>
            <w:tcBorders>
              <w:top w:val="single" w:sz="6" w:color="999999"/>
              <w:left w:val="single" w:sz="6" w:color="999999"/>
              <w:bottom w:val="single" w:sz="6" w:color="999999"/>
              <w:right w:val="single" w:sz="6" w:color="999999"/>
            </w:tcBorders>
          </w:tcPr>
          <w:p>
            <w:r/>
            <w:r>
              <w:rPr>
                <w:sz w:val="20"/>
              </w:rPr>
              <w:t>% environnements test sans DCP réelles</w:t>
            </w:r>
          </w:p>
        </w:tc>
        <w:tc>
          <w:tcPr>
            <w:tcW w:type="dxa" w:w="2835"/>
            <w:tcBorders>
              <w:top w:val="single" w:sz="6" w:color="999999"/>
              <w:left w:val="single" w:sz="6" w:color="999999"/>
              <w:bottom w:val="single" w:sz="6" w:color="999999"/>
              <w:right w:val="single" w:sz="6" w:color="999999"/>
            </w:tcBorders>
          </w:tcPr>
          <w:p>
            <w:r/>
            <w:r>
              <w:rPr>
                <w:sz w:val="20"/>
              </w:rPr>
              <w:t>100%</w:t>
            </w:r>
          </w:p>
        </w:tc>
      </w:tr>
      <w:tr>
        <w:tc>
          <w:tcPr>
            <w:tcW w:type="dxa" w:w="5669"/>
            <w:shd w:fill="F8F6F0" w:val="clear"/>
            <w:tcBorders>
              <w:top w:val="single" w:sz="6" w:color="999999"/>
              <w:left w:val="single" w:sz="6" w:color="999999"/>
              <w:bottom w:val="single" w:sz="6" w:color="999999"/>
              <w:right w:val="single" w:sz="6" w:color="999999"/>
            </w:tcBorders>
          </w:tcPr>
          <w:p>
            <w:r/>
            <w:r>
              <w:rPr>
                <w:sz w:val="20"/>
              </w:rPr>
              <w:t>% datasets externes avec anonymisation validée DPO</w:t>
            </w:r>
          </w:p>
        </w:tc>
        <w:tc>
          <w:tcPr>
            <w:tcW w:type="dxa" w:w="2835"/>
            <w:shd w:fill="F8F6F0" w:val="clear"/>
            <w:tcBorders>
              <w:top w:val="single" w:sz="6" w:color="999999"/>
              <w:left w:val="single" w:sz="6" w:color="999999"/>
              <w:bottom w:val="single" w:sz="6" w:color="999999"/>
              <w:right w:val="single" w:sz="6" w:color="999999"/>
            </w:tcBorders>
          </w:tcPr>
          <w:p>
            <w:r/>
            <w:r>
              <w:rPr>
                <w:sz w:val="20"/>
              </w:rPr>
              <w:t>100%</w:t>
            </w:r>
          </w:p>
        </w:tc>
      </w:tr>
      <w:tr>
        <w:tc>
          <w:tcPr>
            <w:tcW w:type="dxa" w:w="5669"/>
            <w:tcBorders>
              <w:top w:val="single" w:sz="6" w:color="999999"/>
              <w:left w:val="single" w:sz="6" w:color="999999"/>
              <w:bottom w:val="single" w:sz="6" w:color="999999"/>
              <w:right w:val="single" w:sz="6" w:color="999999"/>
            </w:tcBorders>
          </w:tcPr>
          <w:p>
            <w:r/>
            <w:r>
              <w:rPr>
                <w:sz w:val="20"/>
              </w:rPr>
              <w:t>Tests de ré-identification réalisés annuellement</w:t>
            </w:r>
          </w:p>
        </w:tc>
        <w:tc>
          <w:tcPr>
            <w:tcW w:type="dxa" w:w="2835"/>
            <w:tcBorders>
              <w:top w:val="single" w:sz="6" w:color="999999"/>
              <w:left w:val="single" w:sz="6" w:color="999999"/>
              <w:bottom w:val="single" w:sz="6" w:color="999999"/>
              <w:right w:val="single" w:sz="6" w:color="999999"/>
            </w:tcBorders>
          </w:tcPr>
          <w:p>
            <w:r/>
            <w:r>
              <w:rPr>
                <w:sz w:val="20"/>
              </w:rPr>
              <w:t>&gt;= 1 par dataset critique</w:t>
            </w:r>
          </w:p>
        </w:tc>
      </w:tr>
      <w:tr>
        <w:tc>
          <w:tcPr>
            <w:tcW w:type="dxa" w:w="5669"/>
            <w:shd w:fill="F8F6F0" w:val="clear"/>
            <w:tcBorders>
              <w:top w:val="single" w:sz="6" w:color="999999"/>
              <w:left w:val="single" w:sz="6" w:color="999999"/>
              <w:bottom w:val="single" w:sz="6" w:color="999999"/>
              <w:right w:val="single" w:sz="6" w:color="999999"/>
            </w:tcBorders>
          </w:tcPr>
          <w:p>
            <w:r/>
            <w:r>
              <w:rPr>
                <w:sz w:val="20"/>
              </w:rPr>
              <w:t>k-anonymat moyen datasets publics</w:t>
            </w:r>
          </w:p>
        </w:tc>
        <w:tc>
          <w:tcPr>
            <w:tcW w:type="dxa" w:w="2835"/>
            <w:shd w:fill="F8F6F0" w:val="clear"/>
            <w:tcBorders>
              <w:top w:val="single" w:sz="6" w:color="999999"/>
              <w:left w:val="single" w:sz="6" w:color="999999"/>
              <w:bottom w:val="single" w:sz="6" w:color="999999"/>
              <w:right w:val="single" w:sz="6" w:color="999999"/>
            </w:tcBorders>
          </w:tcPr>
          <w:p>
            <w:r/>
            <w:r>
              <w:rPr>
                <w:sz w:val="20"/>
              </w:rPr>
              <w:t>&gt;= 5</w:t>
            </w:r>
          </w:p>
        </w:tc>
      </w:tr>
      <w:tr>
        <w:tc>
          <w:tcPr>
            <w:tcW w:type="dxa" w:w="5669"/>
            <w:tcBorders>
              <w:top w:val="single" w:sz="6" w:color="999999"/>
              <w:left w:val="single" w:sz="6" w:color="999999"/>
              <w:bottom w:val="single" w:sz="6" w:color="999999"/>
              <w:right w:val="single" w:sz="6" w:color="999999"/>
            </w:tcBorders>
          </w:tcPr>
          <w:p>
            <w:r/>
            <w:r>
              <w:rPr>
                <w:sz w:val="20"/>
              </w:rPr>
              <w:t>Tokenisation PAN — couverture</w:t>
            </w:r>
          </w:p>
        </w:tc>
        <w:tc>
          <w:tcPr>
            <w:tcW w:type="dxa" w:w="2835"/>
            <w:tcBorders>
              <w:top w:val="single" w:sz="6" w:color="999999"/>
              <w:left w:val="single" w:sz="6" w:color="999999"/>
              <w:bottom w:val="single" w:sz="6" w:color="999999"/>
              <w:right w:val="single" w:sz="6" w:color="999999"/>
            </w:tcBorders>
          </w:tcPr>
          <w:p>
            <w:r/>
            <w:r>
              <w:rPr>
                <w:sz w:val="20"/>
              </w:rPr>
              <w:t>100%</w:t>
            </w:r>
          </w:p>
        </w:tc>
      </w:tr>
    </w:tbl>
    <w:p>
      <w:pPr>
        <w:keepNext/>
        <w:spacing w:before="360" w:after="160"/>
        <w:pBdr>
          <w:bottom w:val="single" w:sz="6" w:color="C9A961"/>
        </w:pBdr>
      </w:pPr>
      <w:r>
        <w:rPr>
          <w:b/>
          <w:color w:val="1F3A5F"/>
          <w:sz w:val="32"/>
        </w:rPr>
        <w:t>10  Rôles et responsabilités</w:t>
      </w:r>
    </w:p>
    <w:p>
      <w:pPr>
        <w:pStyle w:val="ListBullet"/>
        <w:ind w:left="283"/>
      </w:pPr>
      <w:r/>
      <w:r>
        <w:rPr>
          <w:sz w:val="22"/>
        </w:rPr>
        <w:t>Data Owner : identifie le besoin, fournit les exigences fonctionnelles</w:t>
      </w:r>
    </w:p>
    <w:p>
      <w:pPr>
        <w:pStyle w:val="ListBullet"/>
        <w:ind w:left="283"/>
      </w:pPr>
      <w:r/>
      <w:r>
        <w:rPr>
          <w:sz w:val="22"/>
        </w:rPr>
        <w:t>Data engineer : implémente et opère les transformations</w:t>
      </w:r>
    </w:p>
    <w:p>
      <w:pPr>
        <w:pStyle w:val="ListBullet"/>
        <w:ind w:left="283"/>
      </w:pPr>
      <w:r/>
      <w:r>
        <w:rPr>
          <w:sz w:val="22"/>
        </w:rPr>
        <w:t>RSSI : valide les exigences techniques, supervise le workflow</w:t>
      </w:r>
    </w:p>
    <w:p>
      <w:pPr>
        <w:pStyle w:val="ListBullet"/>
        <w:ind w:left="283"/>
      </w:pPr>
      <w:r/>
      <w:r>
        <w:rPr>
          <w:sz w:val="22"/>
        </w:rPr>
        <w:t>DPO : valide la conformité RGPD, vérifie l'anonymisation, instruit les demandes des personnes</w:t>
      </w:r>
    </w:p>
    <w:p>
      <w:pPr>
        <w:pStyle w:val="ListBullet"/>
        <w:ind w:left="283"/>
      </w:pPr>
      <w:r/>
      <w:r>
        <w:rPr>
          <w:sz w:val="22"/>
        </w:rPr>
        <w:t>Juridique : valide les transferts internationaux et la base légale</w:t>
      </w:r>
    </w:p>
    <w:p>
      <w:pPr>
        <w:keepNext/>
        <w:spacing w:before="360" w:after="160"/>
        <w:pBdr>
          <w:bottom w:val="single" w:sz="6" w:color="C9A961"/>
        </w:pBdr>
      </w:pPr>
      <w:r>
        <w:rPr>
          <w:b/>
          <w:color w:val="1F3A5F"/>
          <w:sz w:val="32"/>
        </w:rPr>
        <w:t>11  Revue et amélioration</w:t>
      </w:r>
    </w:p>
    <w:p>
      <w:pPr>
        <w:pStyle w:val="ListBullet"/>
        <w:ind w:left="283"/>
      </w:pPr>
      <w:r/>
      <w:r>
        <w:rPr>
          <w:sz w:val="22"/>
        </w:rPr>
        <w:t>Revue annuelle de la procédure en revue de direction</w:t>
      </w:r>
    </w:p>
    <w:p>
      <w:pPr>
        <w:pStyle w:val="ListBullet"/>
        <w:ind w:left="283"/>
      </w:pPr>
      <w:r/>
      <w:r>
        <w:rPr>
          <w:sz w:val="22"/>
        </w:rPr>
        <w:t>Veille technique sur attaques de ré-identification (recherche académique)</w:t>
      </w:r>
    </w:p>
    <w:p>
      <w:pPr>
        <w:pStyle w:val="ListBullet"/>
        <w:ind w:left="283"/>
      </w:pPr>
      <w:r/>
      <w:r>
        <w:rPr>
          <w:sz w:val="22"/>
        </w:rPr>
        <w:t>Audit annuel d'un échantillon de datasets anonymisés</w:t>
      </w:r>
    </w:p>
    <w:p>
      <w:pPr>
        <w:keepNext/>
        <w:spacing w:before="360" w:after="160"/>
        <w:pBdr>
          <w:bottom w:val="single" w:sz="6" w:color="C9A961"/>
        </w:pBdr>
      </w:pPr>
      <w:r>
        <w:rPr>
          <w:b/>
          <w:color w:val="1F3A5F"/>
          <w:sz w:val="32"/>
        </w:rPr>
        <w:t>12  Validation et signatures</w:t>
      </w:r>
    </w:p>
    <w:p>
      <w:pPr>
        <w:keepNext/>
        <w:spacing w:before="280" w:after="120"/>
      </w:pPr>
      <w:r>
        <w:rPr>
          <w:b/>
          <w:color w:val="1F3A5F"/>
          <w:sz w:val="26"/>
        </w:rPr>
        <w:t>—  Signatures et approbation</w:t>
      </w:r>
    </w:p>
    <w:tbl>
      <w:tblPr>
        <w:tblW w:type="auto" w:w="0"/>
        <w:jc w:val="center"/>
        <w:tblLook w:firstColumn="1" w:firstRow="1" w:lastColumn="0" w:lastRow="0" w:noHBand="0" w:noVBand="1" w:val="04A0"/>
      </w:tblPr>
      <w:tblGrid>
        <w:gridCol w:w="3324"/>
        <w:gridCol w:w="3324"/>
        <w:gridCol w:w="3324"/>
      </w:tblGrid>
      <w:tr>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Rédigé par</w:t>
            </w:r>
          </w:p>
        </w:tc>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Vérifié par</w:t>
            </w:r>
          </w:p>
        </w:tc>
        <w:tc>
          <w:tcPr>
            <w:tcW w:type="dxa" w:w="3324"/>
            <w:shd w:fill="1F3A5F" w:val="clear"/>
            <w:tcBorders>
              <w:top w:val="single" w:sz="6" w:color="999999"/>
              <w:left w:val="single" w:sz="6" w:color="999999"/>
              <w:bottom w:val="single" w:sz="6" w:color="999999"/>
              <w:right w:val="single" w:sz="6" w:color="999999"/>
            </w:tcBorders>
          </w:tcPr>
          <w:p>
            <w:pPr>
              <w:jc w:val="center"/>
            </w:pPr>
            <w:r/>
            <w:r>
              <w:rPr>
                <w:b/>
                <w:color w:val="FFFFFF"/>
                <w:sz w:val="20"/>
              </w:rPr>
              <w:t>Approuvé par</w:t>
            </w:r>
          </w:p>
        </w:tc>
      </w:tr>
      <w:tr>
        <w:tc>
          <w:tcPr>
            <w:tcW w:type="dxa" w:w="3324"/>
            <w:tcBorders>
              <w:top w:val="single" w:sz="6" w:color="999999"/>
              <w:left w:val="single" w:sz="6" w:color="999999"/>
              <w:bottom w:val="single" w:sz="6" w:color="999999"/>
              <w:right w:val="single" w:sz="6" w:color="999999"/>
            </w:tcBorders>
          </w:tcPr>
          <w:p>
            <w:r/>
            <w:r>
              <w:rPr>
                <w:sz w:val="20"/>
              </w:rPr>
              <w:t>RSSI / Pilote SMSI</w:t>
              <w:br/>
              <w:t>Nom : ____________________</w:t>
              <w:br/>
              <w:t>Date : ____________________</w:t>
              <w:br/>
              <w:t>Signature :</w:t>
            </w:r>
          </w:p>
        </w:tc>
        <w:tc>
          <w:tcPr>
            <w:tcW w:type="dxa" w:w="3324"/>
            <w:tcBorders>
              <w:top w:val="single" w:sz="6" w:color="999999"/>
              <w:left w:val="single" w:sz="6" w:color="999999"/>
              <w:bottom w:val="single" w:sz="6" w:color="999999"/>
              <w:right w:val="single" w:sz="6" w:color="999999"/>
            </w:tcBorders>
          </w:tcPr>
          <w:p>
            <w:r/>
            <w:r>
              <w:rPr>
                <w:sz w:val="20"/>
              </w:rPr>
              <w:t>Comité sécurité</w:t>
              <w:br/>
              <w:t>Nom : ____________________</w:t>
              <w:br/>
              <w:t>Date : ____________________</w:t>
              <w:br/>
              <w:t>Signature :</w:t>
            </w:r>
          </w:p>
        </w:tc>
        <w:tc>
          <w:tcPr>
            <w:tcW w:type="dxa" w:w="3324"/>
            <w:tcBorders>
              <w:top w:val="single" w:sz="6" w:color="999999"/>
              <w:left w:val="single" w:sz="6" w:color="999999"/>
              <w:bottom w:val="single" w:sz="6" w:color="999999"/>
              <w:right w:val="single" w:sz="6" w:color="999999"/>
            </w:tcBorders>
          </w:tcPr>
          <w:p>
            <w:r/>
            <w:r>
              <w:rPr>
                <w:sz w:val="20"/>
              </w:rPr>
              <w:t>Direction générale</w:t>
              <w:br/>
              <w:t>Nom : ____________________</w:t>
              <w:br/>
              <w:t>Date : ____________________</w:t>
              <w:br/>
              <w:t>Signature :</w:t>
            </w:r>
          </w:p>
        </w:tc>
      </w:tr>
    </w:tbl>
    <w:sectPr w:rsidR="00FC693F" w:rsidRPr="0006063C" w:rsidSect="00034616">
      <w:headerReference w:type="default" r:id="rId9"/>
      <w:footerReference w:type="default" r:id="rId10"/>
      <w:pgSz w:w="12240" w:h="15840"/>
      <w:pgMar w:top="1247" w:right="1134" w:bottom="124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8"/>
      </w:rPr>
      <w:t xml:space="preserve">Procédure de masquage et d'anonymisation des données — ISO/IEC 27001:2022 — A.8.11  |  Page </w:t>
    </w:r>
    <w:r>
      <w:fldChar w:fldCharType="begin"/>
      <w:instrText>PAGE</w:instrText>
      <w:fldChar w:fldCharType="end"/>
    </w:r>
    <w:r>
      <w:rPr>
        <w:color w:val="555555"/>
        <w:sz w:val="18"/>
      </w:rPr>
      <w:t xml:space="preserve"> / </w:t>
    </w:r>
    <w:r>
      <w:fldChar w:fldCharType="begin"/>
      <w:instrText>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b/>
        <w:color w:val="1F3A5F"/>
        <w:sz w:val="18"/>
      </w:rPr>
      <w:t>ayinedjimi-consultants.fr</w:t>
    </w:r>
    <w:r>
      <w:rPr>
        <w:i/>
        <w:color w:val="555555"/>
        <w:sz w:val="18"/>
      </w:rPr>
      <w:t xml:space="preserve">  |  ISO/IEC 27001:2022 — Template Gratuit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