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Politique de transfert d'information</w:t>
      </w:r>
    </w:p>
    <w:p>
      <w:pPr>
        <w:jc w:val="center"/>
      </w:pPr>
      <w:r>
        <w:rPr>
          <w:i/>
          <w:color w:val="555555"/>
          <w:sz w:val="26"/>
        </w:rPr>
        <w:t>Échanges d'information internes et externes — Contrôle A.5.14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POL-SMSI-TRF-001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Principes directeurs</w:t>
      </w:r>
    </w:p>
    <w:p>
      <w:pPr>
        <w:ind w:left="0"/>
      </w:pPr>
      <w:r>
        <w:rPr>
          <w:b/>
          <w:color w:val="1F3A5F"/>
          <w:sz w:val="22"/>
        </w:rPr>
        <w:t>4  Matrice canaux × classifications</w:t>
      </w:r>
    </w:p>
    <w:p>
      <w:pPr>
        <w:ind w:left="0"/>
      </w:pPr>
      <w:r>
        <w:rPr>
          <w:b/>
          <w:color w:val="1F3A5F"/>
          <w:sz w:val="22"/>
        </w:rPr>
        <w:t>5  Messagerie électronique</w:t>
      </w:r>
    </w:p>
    <w:p>
      <w:pPr>
        <w:ind w:left="283"/>
      </w:pPr>
      <w:r>
        <w:rPr>
          <w:sz w:val="22"/>
        </w:rPr>
        <w:t>5.1  TLS et S/MIME</w:t>
      </w:r>
    </w:p>
    <w:p>
      <w:pPr>
        <w:ind w:left="283"/>
      </w:pPr>
      <w:r>
        <w:rPr>
          <w:sz w:val="22"/>
        </w:rPr>
        <w:t>5.2  DLP et étiquetage</w:t>
      </w:r>
    </w:p>
    <w:p>
      <w:pPr>
        <w:ind w:left="0"/>
      </w:pPr>
      <w:r>
        <w:rPr>
          <w:b/>
          <w:color w:val="1F3A5F"/>
          <w:sz w:val="22"/>
        </w:rPr>
        <w:t>6  Partage de fichiers et collaboration</w:t>
      </w:r>
    </w:p>
    <w:p>
      <w:pPr>
        <w:ind w:left="0"/>
      </w:pPr>
      <w:r>
        <w:rPr>
          <w:b/>
          <w:color w:val="1F3A5F"/>
          <w:sz w:val="22"/>
        </w:rPr>
        <w:t>7  Supports amovibles (USB, disques)</w:t>
      </w:r>
    </w:p>
    <w:p>
      <w:pPr>
        <w:ind w:left="0"/>
      </w:pPr>
      <w:r>
        <w:rPr>
          <w:b/>
          <w:color w:val="1F3A5F"/>
          <w:sz w:val="22"/>
        </w:rPr>
        <w:t>8  Échanges interentreprises (B2B)</w:t>
      </w:r>
    </w:p>
    <w:p>
      <w:pPr>
        <w:ind w:left="0"/>
      </w:pPr>
      <w:r>
        <w:rPr>
          <w:b/>
          <w:color w:val="1F3A5F"/>
          <w:sz w:val="22"/>
        </w:rPr>
        <w:t>9  Échanges papier et oraux</w:t>
      </w:r>
    </w:p>
    <w:p>
      <w:pPr>
        <w:ind w:left="0"/>
      </w:pPr>
      <w:r>
        <w:rPr>
          <w:b/>
          <w:color w:val="1F3A5F"/>
          <w:sz w:val="22"/>
        </w:rPr>
        <w:t>10  Transferts internationaux RGPD</w:t>
      </w:r>
    </w:p>
    <w:p>
      <w:pPr>
        <w:ind w:left="0"/>
      </w:pPr>
      <w:r>
        <w:rPr>
          <w:b/>
          <w:color w:val="1F3A5F"/>
          <w:sz w:val="22"/>
        </w:rPr>
        <w:t>11  Sanctions et signalement</w:t>
      </w:r>
    </w:p>
    <w:p>
      <w:pPr>
        <w:ind w:left="0"/>
      </w:pPr>
      <w:r>
        <w:rPr>
          <w:b/>
          <w:color w:val="1F3A5F"/>
          <w:sz w:val="22"/>
        </w:rPr>
        <w:t>12  Indicateurs et surveillance</w:t>
      </w:r>
    </w:p>
    <w:p>
      <w:pPr>
        <w:ind w:left="0"/>
      </w:pPr>
      <w:r>
        <w:rPr>
          <w:b/>
          <w:color w:val="1F3A5F"/>
          <w:sz w:val="22"/>
        </w:rPr>
        <w:t>13  Revue et amélioration</w:t>
      </w:r>
    </w:p>
    <w:p>
      <w:pPr>
        <w:ind w:left="0"/>
      </w:pPr>
      <w:r>
        <w:rPr>
          <w:b/>
          <w:color w:val="1F3A5F"/>
          <w:sz w:val="22"/>
        </w:rPr>
        <w:t>14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politique encadre les modalités de transfert d'information entrant et sortant de l'organisme, conformément au contrôle A.5.14 de la norme ISO/IEC 27001:2022. Elle vise à préserver la confidentialité, l'intégrité et l'authenticité des informations échangées, à respecter les obligations légales (notamment RGPD) et les engagements contractuels.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— Annexe A.5.14</w:t>
      </w:r>
    </w:p>
    <w:p>
      <w:pPr>
        <w:pStyle w:val="ListBullet"/>
        <w:ind w:left="283"/>
      </w:pPr>
      <w:r/>
      <w:r>
        <w:rPr>
          <w:sz w:val="22"/>
        </w:rPr>
        <w:t>RGPD — articles 5, 32, 44 à 50 (transferts internationaux)</w:t>
      </w:r>
    </w:p>
    <w:p>
      <w:pPr>
        <w:pStyle w:val="ListBullet"/>
        <w:ind w:left="283"/>
      </w:pPr>
      <w:r/>
      <w:r>
        <w:rPr>
          <w:sz w:val="22"/>
        </w:rPr>
        <w:t>Référentiel CNIL — durées de conservation et transferts</w:t>
      </w:r>
    </w:p>
    <w:p>
      <w:pPr>
        <w:pStyle w:val="ListBullet"/>
        <w:ind w:left="283"/>
      </w:pPr>
      <w:r/>
      <w:r>
        <w:rPr>
          <w:sz w:val="22"/>
        </w:rPr>
        <w:t>ANSSI — Recommandations pour l'usage de la messagerie en milieu professionnel</w:t>
      </w:r>
    </w:p>
    <w:p>
      <w:pPr>
        <w:pStyle w:val="ListBullet"/>
        <w:ind w:left="283"/>
      </w:pPr>
      <w:r/>
      <w:r>
        <w:rPr>
          <w:sz w:val="22"/>
        </w:rPr>
        <w:t>Politique de classification de l'information (réf. POL-SMSI-CLA-001)</w:t>
      </w:r>
    </w:p>
    <w:p>
      <w:pPr>
        <w:pStyle w:val="ListBullet"/>
        <w:ind w:left="283"/>
      </w:pPr>
      <w:r/>
      <w:r>
        <w:rPr>
          <w:sz w:val="22"/>
        </w:rPr>
        <w:t>Politique de cryptographie (réf. POL-SMSI-CRY-001)</w:t>
      </w:r>
    </w:p>
    <w:p>
      <w:pPr>
        <w:pStyle w:val="ListBullet"/>
        <w:ind w:left="283"/>
      </w:pPr>
      <w:r/>
      <w:r>
        <w:rPr>
          <w:sz w:val="22"/>
        </w:rPr>
        <w:t>Politique DLP (réf. POL-SMSI-DLP-001)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Principes directeurs</w:t>
      </w:r>
    </w:p>
    <w:p>
      <w:pPr>
        <w:pStyle w:val="ListBullet"/>
        <w:ind w:left="283"/>
      </w:pPr>
      <w:r/>
      <w:r>
        <w:rPr>
          <w:sz w:val="22"/>
        </w:rPr>
        <w:t>Tout transfert doit être justifié par un besoin professionnel légitime</w:t>
      </w:r>
    </w:p>
    <w:p>
      <w:pPr>
        <w:pStyle w:val="ListBullet"/>
        <w:ind w:left="283"/>
      </w:pPr>
      <w:r/>
      <w:r>
        <w:rPr>
          <w:sz w:val="22"/>
        </w:rPr>
        <w:t>La classification de l'information détermine le canal autorisé</w:t>
      </w:r>
    </w:p>
    <w:p>
      <w:pPr>
        <w:pStyle w:val="ListBullet"/>
        <w:ind w:left="283"/>
      </w:pPr>
      <w:r/>
      <w:r>
        <w:rPr>
          <w:sz w:val="22"/>
        </w:rPr>
        <w:t>Les supports amovibles sont interdits par défaut, autorisations gérées en exception RSSI</w:t>
      </w:r>
    </w:p>
    <w:p>
      <w:pPr>
        <w:pStyle w:val="ListBullet"/>
        <w:ind w:left="283"/>
      </w:pPr>
      <w:r/>
      <w:r>
        <w:rPr>
          <w:sz w:val="22"/>
        </w:rPr>
        <w:t>Le destinataire doit être identifié et authentifié</w:t>
      </w:r>
    </w:p>
    <w:p>
      <w:pPr>
        <w:pStyle w:val="ListBullet"/>
        <w:ind w:left="283"/>
      </w:pPr>
      <w:r/>
      <w:r>
        <w:rPr>
          <w:sz w:val="22"/>
        </w:rPr>
        <w:t>Tout transfert est tracé et auditabilité conservée selon politique logging</w:t>
      </w:r>
    </w:p>
    <w:p>
      <w:pPr>
        <w:pStyle w:val="ListBullet"/>
        <w:ind w:left="283"/>
      </w:pPr>
      <w:r/>
      <w:r>
        <w:rPr>
          <w:sz w:val="22"/>
        </w:rPr>
        <w:t>Les transferts internationaux respectent les exigences RGPD chapitre V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Matrice canaux × classifications</w:t>
      </w:r>
    </w:p>
    <w:p>
      <w:pPr>
        <w:jc w:val="both"/>
      </w:pPr>
      <w:r>
        <w:rPr>
          <w:b w:val="0"/>
          <w:i w:val="0"/>
          <w:sz w:val="22"/>
        </w:rPr>
        <w:t>Niveaux de classification de référence : C0 Public, C1 Interne, C2 Confidentiel, C3 Secret.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Canal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C0 Public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C1 Interne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C2 Confidentiel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C3 Secret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interne (M365 / Workspace)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 avec étiquette + chiffré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externe non chiffré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externe TLS opportuniste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Toléré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externe TLS forcé (MTA-STS)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Toléré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externe S/MIME ou PGP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Plateforme MFT interne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 avec validation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Partage SharePoint / Drive interne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 avec étiquette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Sur enclave dédiée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Partage externe (link sharing)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Tolérance encadrée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USB / disque amovible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Toléré chiffré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Sur dérogation RSSI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Interdit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Courrier papier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Recommandé + accusé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Pli scellé tracé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Messagerie électronique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TLS et S/MIME</w:t>
      </w:r>
    </w:p>
    <w:p>
      <w:pPr>
        <w:pStyle w:val="ListBullet"/>
        <w:ind w:left="283"/>
      </w:pPr>
      <w:r/>
      <w:r>
        <w:rPr>
          <w:sz w:val="22"/>
        </w:rPr>
        <w:t>TLS opportuniste activé sur 100% des connexions sortantes — minimum TLS 1.2</w:t>
      </w:r>
    </w:p>
    <w:p>
      <w:pPr>
        <w:pStyle w:val="ListBullet"/>
        <w:ind w:left="283"/>
      </w:pPr>
      <w:r/>
      <w:r>
        <w:rPr>
          <w:sz w:val="22"/>
        </w:rPr>
        <w:t>MTA-STS et DANE activés sur les domaines de l'organisme</w:t>
      </w:r>
    </w:p>
    <w:p>
      <w:pPr>
        <w:pStyle w:val="ListBullet"/>
        <w:ind w:left="283"/>
      </w:pPr>
      <w:r/>
      <w:r>
        <w:rPr>
          <w:sz w:val="22"/>
        </w:rPr>
        <w:t>Sender Policy Framework (SPF), DKIM et DMARC reject obligatoires</w:t>
      </w:r>
    </w:p>
    <w:p>
      <w:pPr>
        <w:pStyle w:val="ListBullet"/>
        <w:ind w:left="283"/>
      </w:pPr>
      <w:r/>
      <w:r>
        <w:rPr>
          <w:sz w:val="22"/>
        </w:rPr>
        <w:t>S/MIME : déploiement progressif via PKI interne pour C2/C3</w:t>
      </w:r>
    </w:p>
    <w:p>
      <w:pPr>
        <w:pStyle w:val="ListBullet"/>
        <w:ind w:left="283"/>
      </w:pPr>
      <w:r/>
      <w:r>
        <w:rPr>
          <w:sz w:val="22"/>
        </w:rPr>
        <w:t>PGP : autorisé pour échanges avec partenaires l'utilisant déjà, gestion clés sécurisée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DLP et étiquetage</w:t>
      </w:r>
    </w:p>
    <w:p>
      <w:pPr>
        <w:pStyle w:val="ListBullet"/>
        <w:ind w:left="283"/>
      </w:pPr>
      <w:r/>
      <w:r>
        <w:rPr>
          <w:sz w:val="22"/>
        </w:rPr>
        <w:t>Étiquetage automatique (Microsoft Purview / Google DLP) selon classification</w:t>
      </w:r>
    </w:p>
    <w:p>
      <w:pPr>
        <w:pStyle w:val="ListBullet"/>
        <w:ind w:left="283"/>
      </w:pPr>
      <w:r/>
      <w:r>
        <w:rPr>
          <w:sz w:val="22"/>
        </w:rPr>
        <w:t>Règles DLP bloquant l'envoi externe de C2/C3 sans étiquette ni chiffrement</w:t>
      </w:r>
    </w:p>
    <w:p>
      <w:pPr>
        <w:pStyle w:val="ListBullet"/>
        <w:ind w:left="283"/>
      </w:pPr>
      <w:r/>
      <w:r>
        <w:rPr>
          <w:sz w:val="22"/>
        </w:rPr>
        <w:t>Détection automatique de PII, PCI, IBAN, NIR, etc.</w:t>
      </w:r>
    </w:p>
    <w:p>
      <w:pPr>
        <w:pStyle w:val="ListBullet"/>
        <w:ind w:left="283"/>
      </w:pPr>
      <w:r/>
      <w:r>
        <w:rPr>
          <w:sz w:val="22"/>
        </w:rPr>
        <w:t>Alerte SIEM sur tentatives répétées de fuites suspectes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Partage de fichiers et collaboration</w:t>
      </w:r>
    </w:p>
    <w:p>
      <w:pPr>
        <w:pStyle w:val="ListBullet"/>
        <w:ind w:left="283"/>
      </w:pPr>
      <w:r/>
      <w:r>
        <w:rPr>
          <w:sz w:val="22"/>
        </w:rPr>
        <w:t>Outils approuvés : SharePoint, OneDrive, Google Drive, Box Enterprise (selon contrat entreprise)</w:t>
      </w:r>
    </w:p>
    <w:p>
      <w:pPr>
        <w:pStyle w:val="ListBullet"/>
        <w:ind w:left="283"/>
      </w:pPr>
      <w:r/>
      <w:r>
        <w:rPr>
          <w:sz w:val="22"/>
        </w:rPr>
        <w:t>Outils interdits : services SaaS gratuits non audités (WeTransfer non Pro, services cloud personnels)</w:t>
      </w:r>
    </w:p>
    <w:p>
      <w:pPr>
        <w:pStyle w:val="ListBullet"/>
        <w:ind w:left="283"/>
      </w:pPr>
      <w:r/>
      <w:r>
        <w:rPr>
          <w:sz w:val="22"/>
        </w:rPr>
        <w:t>Liens externes : durée d'expiration max 14 jours par défaut, accès nominatif, password protégé</w:t>
      </w:r>
    </w:p>
    <w:p>
      <w:pPr>
        <w:pStyle w:val="ListBullet"/>
        <w:ind w:left="283"/>
      </w:pPr>
      <w:r/>
      <w:r>
        <w:rPr>
          <w:sz w:val="22"/>
        </w:rPr>
        <w:t>Étiquetage Purview obligatoire sur fichiers C2 et C3</w:t>
      </w:r>
    </w:p>
    <w:p>
      <w:pPr>
        <w:pStyle w:val="ListBullet"/>
        <w:ind w:left="283"/>
      </w:pPr>
      <w:r/>
      <w:r>
        <w:rPr>
          <w:sz w:val="22"/>
        </w:rPr>
        <w:t>Pour partage en volume entre entités : utiliser MFT (Managed File Transfer) avec chiffrement et journalisation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Supports amovibles (USB, disques)</w:t>
      </w:r>
    </w:p>
    <w:p>
      <w:pPr>
        <w:jc w:val="both"/>
      </w:pPr>
      <w:r>
        <w:rPr>
          <w:b w:val="0"/>
          <w:i w:val="0"/>
          <w:sz w:val="22"/>
        </w:rPr>
        <w:t>Principe : INTERDIT PAR DÉFAUT.</w:t>
      </w:r>
    </w:p>
    <w:p>
      <w:pPr>
        <w:pStyle w:val="ListBullet"/>
        <w:ind w:left="283"/>
      </w:pPr>
      <w:r/>
      <w:r>
        <w:rPr>
          <w:sz w:val="22"/>
        </w:rPr>
        <w:t>Blocage technique des ports USB en écriture par GPO/MDM, sauf devices autorisés (whitelist)</w:t>
      </w:r>
    </w:p>
    <w:p>
      <w:pPr>
        <w:pStyle w:val="ListBullet"/>
        <w:ind w:left="283"/>
      </w:pPr>
      <w:r/>
      <w:r>
        <w:rPr>
          <w:sz w:val="22"/>
        </w:rPr>
        <w:t>Lecture seule autorisée pour C0 / C1 uniquement, avec scan EDR systématique</w:t>
      </w:r>
    </w:p>
    <w:p>
      <w:pPr>
        <w:pStyle w:val="ListBullet"/>
        <w:ind w:left="283"/>
      </w:pPr>
      <w:r/>
      <w:r>
        <w:rPr>
          <w:sz w:val="22"/>
        </w:rPr>
        <w:t>Écriture sur dérogation RSSI uniquement, support chiffré matériel certifié (FIPS 140-2)</w:t>
      </w:r>
    </w:p>
    <w:p>
      <w:pPr>
        <w:pStyle w:val="ListBullet"/>
        <w:ind w:left="283"/>
      </w:pPr>
      <w:r/>
      <w:r>
        <w:rPr>
          <w:sz w:val="22"/>
        </w:rPr>
        <w:t>Inventaire des USB chiffrés professionnels distribués sur demande</w:t>
      </w:r>
    </w:p>
    <w:p>
      <w:pPr>
        <w:pStyle w:val="ListBullet"/>
        <w:ind w:left="283"/>
      </w:pPr>
      <w:r/>
      <w:r>
        <w:rPr>
          <w:sz w:val="22"/>
        </w:rPr>
        <w:t>Sanctions disciplinaires en cas de violation (cf. charte SI)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Pourquoi cette restriction — </w:t>
            </w:r>
            <w:r>
              <w:rPr>
                <w:i/>
                <w:color w:val="222222"/>
                <w:sz w:val="20"/>
              </w:rPr>
              <w:t>Les supports amovibles ont été le vecteur initial de nombreuses compromissions majeures (Stuxnet, Conficker, USB drop attacks). Leur usage non maîtrisé est l'un des plus grands risques techniques évitables.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Échanges interentreprises (B2B)</w:t>
      </w:r>
    </w:p>
    <w:p>
      <w:pPr>
        <w:pStyle w:val="ListBullet"/>
        <w:ind w:left="283"/>
      </w:pPr>
      <w:r/>
      <w:r>
        <w:rPr>
          <w:sz w:val="22"/>
        </w:rPr>
        <w:t>MFT (Managed File Transfer) pour les échanges récurrents (GoAnywhere, Cleo, MFT Server)</w:t>
      </w:r>
    </w:p>
    <w:p>
      <w:pPr>
        <w:pStyle w:val="ListBullet"/>
        <w:ind w:left="283"/>
      </w:pPr>
      <w:r/>
      <w:r>
        <w:rPr>
          <w:sz w:val="22"/>
        </w:rPr>
        <w:t>EDI : protocoles AS2 / AS4 avec signature et chiffrement</w:t>
      </w:r>
    </w:p>
    <w:p>
      <w:pPr>
        <w:pStyle w:val="ListBullet"/>
        <w:ind w:left="283"/>
      </w:pPr>
      <w:r/>
      <w:r>
        <w:rPr>
          <w:sz w:val="22"/>
        </w:rPr>
        <w:t>API : authentification OAuth 2.0 / mTLS, signature JWS, journalisation API gateway</w:t>
      </w:r>
    </w:p>
    <w:p>
      <w:pPr>
        <w:pStyle w:val="ListBullet"/>
        <w:ind w:left="283"/>
      </w:pPr>
      <w:r/>
      <w:r>
        <w:rPr>
          <w:sz w:val="22"/>
        </w:rPr>
        <w:t>SFTP avec clés SSH dédiées, rotation annuelle, IP source restreinte</w:t>
      </w:r>
    </w:p>
    <w:p>
      <w:pPr>
        <w:pStyle w:val="ListBullet"/>
        <w:ind w:left="283"/>
      </w:pPr>
      <w:r/>
      <w:r>
        <w:rPr>
          <w:sz w:val="22"/>
        </w:rPr>
        <w:t>Tout nouveau canal B2B est qualifié par le RSSI avant mise en production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Échanges papier et oraux</w:t>
      </w:r>
    </w:p>
    <w:p>
      <w:pPr>
        <w:pStyle w:val="ListBullet"/>
        <w:ind w:left="283"/>
      </w:pPr>
      <w:r/>
      <w:r>
        <w:rPr>
          <w:sz w:val="22"/>
        </w:rPr>
        <w:t>Documents C2 : impression supervisée (badge), salle close, élimination broyeur P-5</w:t>
      </w:r>
    </w:p>
    <w:p>
      <w:pPr>
        <w:pStyle w:val="ListBullet"/>
        <w:ind w:left="283"/>
      </w:pPr>
      <w:r/>
      <w:r>
        <w:rPr>
          <w:sz w:val="22"/>
        </w:rPr>
        <w:t>Documents C3 : pli scellé, transport tracé, registre signé</w:t>
      </w:r>
    </w:p>
    <w:p>
      <w:pPr>
        <w:pStyle w:val="ListBullet"/>
        <w:ind w:left="283"/>
      </w:pPr>
      <w:r/>
      <w:r>
        <w:rPr>
          <w:sz w:val="22"/>
        </w:rPr>
        <w:t>Conversations C2/C3 : salles privatives, pas de visiophonie publique, NDA signé pour intervenants externes</w:t>
      </w:r>
    </w:p>
    <w:p>
      <w:pPr>
        <w:pStyle w:val="ListBullet"/>
        <w:ind w:left="283"/>
      </w:pPr>
      <w:r/>
      <w:r>
        <w:rPr>
          <w:sz w:val="22"/>
        </w:rPr>
        <w:t>Téléphone : ligne fixe pour C2/C3 critiques, applications sécurisées (Element, Olvid) pour mobile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Transferts internationaux RGPD</w:t>
      </w:r>
    </w:p>
    <w:p>
      <w:pPr>
        <w:jc w:val="both"/>
      </w:pPr>
      <w:r>
        <w:rPr>
          <w:b w:val="0"/>
          <w:i w:val="0"/>
          <w:sz w:val="22"/>
        </w:rPr>
        <w:t>Tout transfert de DCP hors UE/EEE doit être encadré par un mécanisme prévu au chapitre V du RGPD :</w:t>
      </w:r>
    </w:p>
    <w:p>
      <w:pPr>
        <w:pStyle w:val="ListBullet"/>
        <w:ind w:left="283"/>
      </w:pPr>
      <w:r/>
      <w:r>
        <w:rPr>
          <w:sz w:val="22"/>
        </w:rPr>
        <w:t>Pays à décision d'adéquation (UK, Suisse, Canada commercial, Japon, Corée…) — Article 45</w:t>
      </w:r>
    </w:p>
    <w:p>
      <w:pPr>
        <w:pStyle w:val="ListBullet"/>
        <w:ind w:left="283"/>
      </w:pPr>
      <w:r/>
      <w:r>
        <w:rPr>
          <w:sz w:val="22"/>
        </w:rPr>
        <w:t>Clauses contractuelles types (CCT) actualisées 2021 — Article 46.2.c</w:t>
      </w:r>
    </w:p>
    <w:p>
      <w:pPr>
        <w:pStyle w:val="ListBullet"/>
        <w:ind w:left="283"/>
      </w:pPr>
      <w:r/>
      <w:r>
        <w:rPr>
          <w:sz w:val="22"/>
        </w:rPr>
        <w:t>BCR (Binding Corporate Rules) approuvées par l'autorité de contrôle — Article 47</w:t>
      </w:r>
    </w:p>
    <w:p>
      <w:pPr>
        <w:pStyle w:val="ListBullet"/>
        <w:ind w:left="283"/>
      </w:pPr>
      <w:r/>
      <w:r>
        <w:rPr>
          <w:sz w:val="22"/>
        </w:rPr>
        <w:t>Évaluation TIA (Transfer Impact Assessment) systématique post-arrêt Schrems II</w:t>
      </w:r>
    </w:p>
    <w:p>
      <w:pPr>
        <w:pStyle w:val="ListBullet"/>
        <w:ind w:left="283"/>
      </w:pPr>
      <w:r/>
      <w:r>
        <w:rPr>
          <w:sz w:val="22"/>
        </w:rPr>
        <w:t>Validation préalable du DPO pour tout nouveau transfert international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Sanctions et signalement</w:t>
      </w:r>
    </w:p>
    <w:p>
      <w:pPr>
        <w:pStyle w:val="ListBullet"/>
        <w:ind w:left="283"/>
      </w:pPr>
      <w:r/>
      <w:r>
        <w:rPr>
          <w:sz w:val="22"/>
        </w:rPr>
        <w:t>Tout collaborateur signalant une fuite involontaire bénéficie d'un dispositif de bonne foi (no blame)</w:t>
      </w:r>
    </w:p>
    <w:p>
      <w:pPr>
        <w:pStyle w:val="ListBullet"/>
        <w:ind w:left="283"/>
      </w:pPr>
      <w:r/>
      <w:r>
        <w:rPr>
          <w:sz w:val="22"/>
        </w:rPr>
        <w:t>Toute violation intentionnelle est susceptible de sanctions disciplinaires (cf. RI et charte SI)</w:t>
      </w:r>
    </w:p>
    <w:p>
      <w:pPr>
        <w:pStyle w:val="ListBullet"/>
        <w:ind w:left="283"/>
      </w:pPr>
      <w:r/>
      <w:r>
        <w:rPr>
          <w:sz w:val="22"/>
        </w:rPr>
        <w:t>Fuite avérée de DCP : notification CNIL ≤ 72h par le DPO</w:t>
      </w:r>
    </w:p>
    <w:p>
      <w:pPr>
        <w:pStyle w:val="ListBullet"/>
        <w:ind w:left="283"/>
      </w:pPr>
      <w:r/>
      <w:r>
        <w:rPr>
          <w:sz w:val="22"/>
        </w:rPr>
        <w:t>Fuite avérée de secrets d'affaires : action juridique évaluée par la Direction Juridique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12  Indicateurs et surveillance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de mails TLS sortant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99%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Couverture DMARC reject sur domaines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d'étiquetage Purview sur fichiers C2/C3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Nb fuites détectées DLP / mois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Surveillance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USB autorisations actives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Suivi mensuel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Transferts internationaux documentés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13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politique en revue de direction</w:t>
      </w:r>
    </w:p>
    <w:p>
      <w:pPr>
        <w:pStyle w:val="ListBullet"/>
        <w:ind w:left="283"/>
      </w:pPr>
      <w:r/>
      <w:r>
        <w:rPr>
          <w:sz w:val="22"/>
        </w:rPr>
        <w:t>Test exfiltration trimestriel sur scénarios DLP</w:t>
      </w:r>
    </w:p>
    <w:p>
      <w:pPr>
        <w:pStyle w:val="ListBullet"/>
        <w:ind w:left="283"/>
      </w:pPr>
      <w:r/>
      <w:r>
        <w:rPr>
          <w:sz w:val="22"/>
        </w:rPr>
        <w:t>Retour d'expérience après incident fuite ou tentative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14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Politique de transfert d'information — ISO/IEC 27001:2022 — A.5.14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