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600"/>
        <w:jc w:val="center"/>
      </w:pPr>
      <w:r>
        <w:rPr>
          <w:b/>
          <w:color w:val="1F4E79"/>
          <w:sz w:val="22"/>
        </w:rPr>
        <w:t>ISO/IEC 27001:2022 — TEMPLATE GRATUIT</w:t>
      </w:r>
    </w:p>
    <w:p>
      <w:pPr>
        <w:spacing w:before="400"/>
        <w:jc w:val="center"/>
      </w:pPr>
      <w:r>
        <w:rPr>
          <w:b/>
          <w:color w:val="0B2545"/>
          <w:sz w:val="52"/>
        </w:rPr>
        <w:t>Politique de télétravail et BYOD</w:t>
      </w:r>
    </w:p>
    <w:p>
      <w:pPr>
        <w:jc w:val="center"/>
      </w:pPr>
      <w:r>
        <w:rPr>
          <w:i/>
          <w:color w:val="595959"/>
          <w:sz w:val="26"/>
        </w:rPr>
        <w:t>Conforme ISO/IEC 27001:2022 — A.6.7 / A.8.1 / A.5.14</w:t>
      </w:r>
    </w:p>
    <w:p/>
    <w:tbl>
      <w:tblPr>
        <w:tblW w:type="auto" w:w="0"/>
        <w:jc w:val="center"/>
        <w:tblLook w:firstColumn="1" w:firstRow="1" w:lastColumn="0" w:lastRow="0" w:noHBand="0" w:noVBand="1" w:val="04A0"/>
      </w:tblPr>
      <w:tblGrid>
        <w:gridCol w:w="4873"/>
        <w:gridCol w:w="4873"/>
      </w:tblGrid>
      <w:tr>
        <w:tc>
          <w:tcPr>
            <w:tcW w:type="dxa" w:w="3969"/>
            <w:shd w:val="clear" w:color="auto" w:fill="E7EAF1"/>
          </w:tcPr>
          <w:p>
            <w:r>
              <w:rPr>
                <w:b/>
              </w:rPr>
              <w:t>Référence</w:t>
            </w:r>
          </w:p>
        </w:tc>
        <w:tc>
          <w:tcPr>
            <w:tcW w:type="dxa" w:w="3969"/>
          </w:tcPr>
          <w:p>
            <w:r>
              <w:t>TPL-ISO27001-XXXX-v1.0</w:t>
            </w:r>
          </w:p>
        </w:tc>
      </w:tr>
      <w:tr>
        <w:tc>
          <w:tcPr>
            <w:tcW w:type="dxa" w:w="3969"/>
            <w:shd w:val="clear" w:color="auto" w:fill="E7EAF1"/>
          </w:tcPr>
          <w:p>
            <w:r>
              <w:rPr>
                <w:b/>
              </w:rPr>
              <w:t>Version</w:t>
            </w:r>
          </w:p>
        </w:tc>
        <w:tc>
          <w:tcPr>
            <w:tcW w:type="dxa" w:w="3969"/>
          </w:tcPr>
          <w:p>
            <w:r>
              <w:t>1.0</w:t>
            </w:r>
          </w:p>
        </w:tc>
      </w:tr>
      <w:tr>
        <w:tc>
          <w:tcPr>
            <w:tcW w:type="dxa" w:w="3969"/>
            <w:shd w:val="clear" w:color="auto" w:fill="E7EAF1"/>
          </w:tcPr>
          <w:p>
            <w:r>
              <w:rPr>
                <w:b/>
              </w:rPr>
              <w:t>Date d'émission</w:t>
            </w:r>
          </w:p>
        </w:tc>
        <w:tc>
          <w:tcPr>
            <w:tcW w:type="dxa" w:w="3969"/>
          </w:tcPr>
          <w:p>
            <w:r>
              <w:t>—</w:t>
            </w:r>
          </w:p>
        </w:tc>
      </w:tr>
      <w:tr>
        <w:tc>
          <w:tcPr>
            <w:tcW w:type="dxa" w:w="3969"/>
            <w:shd w:val="clear" w:color="auto" w:fill="E7EAF1"/>
          </w:tcPr>
          <w:p>
            <w:r>
              <w:rPr>
                <w:b/>
              </w:rPr>
              <w:t>Approuvé par</w:t>
            </w:r>
          </w:p>
        </w:tc>
        <w:tc>
          <w:tcPr>
            <w:tcW w:type="dxa" w:w="3969"/>
          </w:tcPr>
          <w:p>
            <w:r>
              <w:t>Direction Générale / RSSI</w:t>
            </w:r>
          </w:p>
        </w:tc>
      </w:tr>
      <w:tr>
        <w:tc>
          <w:tcPr>
            <w:tcW w:type="dxa" w:w="3969"/>
            <w:shd w:val="clear" w:color="auto" w:fill="E7EAF1"/>
          </w:tcPr>
          <w:p>
            <w:r>
              <w:rPr>
                <w:b/>
              </w:rPr>
              <w:t>Classification</w:t>
            </w:r>
          </w:p>
        </w:tc>
        <w:tc>
          <w:tcPr>
            <w:tcW w:type="dxa" w:w="3969"/>
          </w:tcPr>
          <w:p>
            <w:r>
              <w:t>Interne</w:t>
            </w:r>
          </w:p>
        </w:tc>
      </w:tr>
    </w:tbl>
    <w:p>
      <w:r>
        <w:br w:type="page"/>
      </w:r>
    </w:p>
    <w:p>
      <w:pPr>
        <w:spacing w:before="360" w:after="160"/>
        <w:pBdr>
          <w:bottom w:val="single" w:sz="8" w:space="1" w:color="1F4E79"/>
        </w:pBdr>
      </w:pPr>
      <w:r>
        <w:rPr>
          <w:b/>
          <w:color w:val="0B2545"/>
          <w:sz w:val="36"/>
        </w:rPr>
        <w:t>Sommaire</w:t>
      </w:r>
    </w:p>
    <w:p>
      <w:pPr>
        <w:spacing w:after="60"/>
      </w:pPr>
      <w:r>
        <w:rPr>
          <w:sz w:val="22"/>
        </w:rPr>
        <w:t>1. Objet et portée</w:t>
      </w:r>
    </w:p>
    <w:p>
      <w:pPr>
        <w:spacing w:after="60"/>
      </w:pPr>
      <w:r>
        <w:rPr>
          <w:sz w:val="22"/>
        </w:rPr>
        <w:t>2. Conditions d'éligibilité au télétravail</w:t>
      </w:r>
    </w:p>
    <w:p>
      <w:pPr>
        <w:spacing w:after="60"/>
      </w:pPr>
      <w:r>
        <w:rPr>
          <w:sz w:val="22"/>
        </w:rPr>
        <w:t>3. Équipement professionnel et BYOD</w:t>
      </w:r>
    </w:p>
    <w:p>
      <w:pPr>
        <w:spacing w:after="60"/>
      </w:pPr>
      <w:r>
        <w:rPr>
          <w:sz w:val="22"/>
        </w:rPr>
        <w:t>4. Connectivité et accès aux ressources</w:t>
      </w:r>
    </w:p>
    <w:p>
      <w:pPr>
        <w:spacing w:after="60"/>
      </w:pPr>
      <w:r>
        <w:rPr>
          <w:sz w:val="22"/>
        </w:rPr>
        <w:t>5. Sécurité physique du poste de télétravail</w:t>
      </w:r>
    </w:p>
    <w:p>
      <w:pPr>
        <w:spacing w:after="60"/>
      </w:pPr>
      <w:r>
        <w:rPr>
          <w:sz w:val="22"/>
        </w:rPr>
        <w:t>6. Gestion des données et confidentialité</w:t>
      </w:r>
    </w:p>
    <w:p>
      <w:pPr>
        <w:spacing w:after="60"/>
      </w:pPr>
      <w:r>
        <w:rPr>
          <w:sz w:val="22"/>
        </w:rPr>
        <w:t>7. Droit à la déconnexion</w:t>
      </w:r>
    </w:p>
    <w:p>
      <w:pPr>
        <w:spacing w:after="60"/>
      </w:pPr>
      <w:r>
        <w:rPr>
          <w:sz w:val="22"/>
        </w:rPr>
        <w:t>8. Incidents et signalement</w:t>
      </w:r>
    </w:p>
    <w:p>
      <w:pPr>
        <w:spacing w:after="60"/>
      </w:pPr>
      <w:r>
        <w:rPr>
          <w:sz w:val="22"/>
        </w:rPr>
        <w:t>9. Conformité légale (Code du travail)</w:t>
      </w:r>
    </w:p>
    <w:p>
      <w:r>
        <w:br w:type="page"/>
      </w:r>
    </w:p>
    <w:p>
      <w:pPr>
        <w:spacing w:before="360" w:after="160"/>
        <w:pBdr>
          <w:bottom w:val="single" w:sz="8" w:space="1" w:color="1F4E79"/>
        </w:pBdr>
      </w:pPr>
      <w:r>
        <w:rPr>
          <w:b/>
          <w:color w:val="0B2545"/>
          <w:sz w:val="36"/>
        </w:rPr>
        <w:t>1. Objet et portée</w:t>
      </w:r>
    </w:p>
    <w:p>
      <w:pPr>
        <w:spacing w:line="312" w:lineRule="auto"/>
        <w:jc w:val="both"/>
      </w:pPr>
      <w:r>
        <w:t>La présente politique définit les règles applicables à l'exercice du télétravail et à l'usage d'équipements personnels à des fins professionnelles (BYOD — Bring Your Own Device), en application du contrôle A.6.7 « Travail à distance » de la norme ISO/IEC 27001:2022 et de l'accord national interprofessionnel du 26 novembre 2020.</w:t>
      </w:r>
    </w:p>
    <w:p>
      <w:pPr>
        <w:spacing w:before="360" w:after="160"/>
        <w:pBdr>
          <w:bottom w:val="single" w:sz="8" w:space="1" w:color="1F4E79"/>
        </w:pBdr>
      </w:pPr>
      <w:r>
        <w:rPr>
          <w:b/>
          <w:color w:val="0B2545"/>
          <w:sz w:val="36"/>
        </w:rPr>
        <w:t>2. Conditions d'éligibilité au télétravail</w:t>
      </w:r>
    </w:p>
    <w:p>
      <w:pPr>
        <w:spacing w:line="312" w:lineRule="auto"/>
        <w:jc w:val="both"/>
      </w:pPr>
      <w:r>
        <w:t>Le télétravail est ouvert à tous les collaborateurs dont les missions le permettent, sous réserve :</w:t>
      </w:r>
    </w:p>
    <w:p>
      <w:pPr>
        <w:pStyle w:val="ListBullet"/>
        <w:spacing w:after="40"/>
      </w:pPr>
      <w:r>
        <w:t>D'un accord individuel ou collectif formalisé (avenant, charte ANI 2020).</w:t>
      </w:r>
    </w:p>
    <w:p>
      <w:pPr>
        <w:pStyle w:val="ListBullet"/>
        <w:spacing w:after="40"/>
      </w:pPr>
      <w:r>
        <w:t>D'une ancienneté minimale de 6 mois (sauf accord spécifique).</w:t>
      </w:r>
    </w:p>
    <w:p>
      <w:pPr>
        <w:pStyle w:val="ListBullet"/>
        <w:spacing w:after="40"/>
      </w:pPr>
      <w:r>
        <w:t>De l'absence d'impératif de présence physique permanente.</w:t>
      </w:r>
    </w:p>
    <w:p>
      <w:pPr>
        <w:pStyle w:val="ListBullet"/>
        <w:spacing w:after="40"/>
      </w:pPr>
      <w:r>
        <w:t>De disposer d'un environnement de travail propice à la concentration et à la confidentialité.</w:t>
      </w:r>
    </w:p>
    <w:p>
      <w:pPr>
        <w:pStyle w:val="ListBullet"/>
        <w:spacing w:after="40"/>
      </w:pPr>
      <w:r>
        <w:t>D'une connexion Internet stable (débit minimal de 30 Mbps).</w:t>
      </w:r>
    </w:p>
    <w:p>
      <w:pPr>
        <w:spacing w:before="360" w:after="160"/>
        <w:pBdr>
          <w:bottom w:val="single" w:sz="8" w:space="1" w:color="1F4E79"/>
        </w:pBdr>
      </w:pPr>
      <w:r>
        <w:rPr>
          <w:b/>
          <w:color w:val="0B2545"/>
          <w:sz w:val="36"/>
        </w:rPr>
        <w:t>3. Équipement professionnel et BYOD</w:t>
      </w:r>
    </w:p>
    <w:p>
      <w:pPr>
        <w:spacing w:before="240" w:after="80"/>
      </w:pPr>
      <w:r>
        <w:rPr>
          <w:b/>
          <w:color w:val="1F4E79"/>
          <w:sz w:val="26"/>
        </w:rPr>
        <w:t>3.1 Équipement fourni par l'organisation</w:t>
      </w:r>
    </w:p>
    <w:p>
      <w:pPr>
        <w:spacing w:line="312" w:lineRule="auto"/>
        <w:jc w:val="both"/>
      </w:pPr>
      <w:r>
        <w:t>L'organisation met à disposition un ordinateur portable professionnel, configuré conformément au socle de sécurité (durcissement CIS Benchmark, EDR, chiffrement BitLocker/FileVault, MDM, agent SIEM). Le collaborateur en a la garde et doit le restituer en cas de cessation d'activité.</w:t>
      </w:r>
    </w:p>
    <w:p>
      <w:pPr>
        <w:spacing w:before="240" w:after="80"/>
      </w:pPr>
      <w:r>
        <w:rPr>
          <w:b/>
          <w:color w:val="1F4E79"/>
          <w:sz w:val="26"/>
        </w:rPr>
        <w:t>3.2 BYOD — Conditions strictes</w:t>
      </w:r>
    </w:p>
    <w:p>
      <w:pPr>
        <w:spacing w:line="312" w:lineRule="auto"/>
        <w:jc w:val="both"/>
      </w:pPr>
      <w:r>
        <w:t>L'usage d'un équipement personnel est exceptionnel et soumis à l'autorisation préalable de la DSI. Il est autorisé uniquement via :</w:t>
      </w:r>
    </w:p>
    <w:p>
      <w:pPr>
        <w:pStyle w:val="ListBullet"/>
        <w:spacing w:after="40"/>
      </w:pPr>
      <w:r>
        <w:t>Un accès web via un portail sécurisé avec authentification forte (pas d'installation).</w:t>
      </w:r>
    </w:p>
    <w:p>
      <w:pPr>
        <w:pStyle w:val="ListBullet"/>
        <w:spacing w:after="40"/>
      </w:pPr>
      <w:r>
        <w:t>Un conteneur applicatif chiffré (MAM) ne mélangeant pas données pro et personnelles.</w:t>
      </w:r>
    </w:p>
    <w:p>
      <w:pPr>
        <w:pStyle w:val="ListBullet"/>
        <w:spacing w:after="40"/>
      </w:pPr>
      <w:r>
        <w:t>Un environnement virtualisé (VDI) sans transfert de données vers l'équipement.</w:t>
      </w:r>
    </w:p>
    <w:p>
      <w:pPr>
        <w:spacing w:line="312" w:lineRule="auto"/>
        <w:jc w:val="both"/>
      </w:pPr>
      <w:r>
        <w:t>L'utilisateur doit accepter par écrit que l'effacement à distance des données professionnelles soit possible en cas de perte, vol ou cessation d'activité.</w:t>
      </w:r>
    </w:p>
    <w:p>
      <w:pPr>
        <w:spacing w:before="360" w:after="160"/>
        <w:pBdr>
          <w:bottom w:val="single" w:sz="8" w:space="1" w:color="1F4E79"/>
        </w:pBdr>
      </w:pPr>
      <w:r>
        <w:rPr>
          <w:b/>
          <w:color w:val="0B2545"/>
          <w:sz w:val="36"/>
        </w:rPr>
        <w:t>4. Connectivité et accès aux ressources</w:t>
      </w:r>
    </w:p>
    <w:p>
      <w:pPr>
        <w:pStyle w:val="ListBullet"/>
        <w:spacing w:after="40"/>
      </w:pPr>
      <w:r>
        <w:t>Connexion obligatoire via le VPN d'entreprise (always-on) ou via la solution ZTNA déployée.</w:t>
      </w:r>
    </w:p>
    <w:p>
      <w:pPr>
        <w:pStyle w:val="ListBullet"/>
        <w:spacing w:after="40"/>
      </w:pPr>
      <w:r>
        <w:t>MFA obligatoire à chaque connexion (FIDO2 / TOTP, pas de SMS).</w:t>
      </w:r>
    </w:p>
    <w:p>
      <w:pPr>
        <w:pStyle w:val="ListBullet"/>
        <w:spacing w:after="40"/>
      </w:pPr>
      <w:r>
        <w:t>Interdiction de partage de connexion (tethering depuis un terminal non maîtrisé) sans MDM.</w:t>
      </w:r>
    </w:p>
    <w:p>
      <w:pPr>
        <w:pStyle w:val="ListBullet"/>
        <w:spacing w:after="40"/>
      </w:pPr>
      <w:r>
        <w:t>Utilisation des réseaux Wi-Fi publics interdite, sauf via VPN d'entreprise.</w:t>
      </w:r>
    </w:p>
    <w:p>
      <w:pPr>
        <w:pStyle w:val="ListBullet"/>
        <w:spacing w:after="40"/>
      </w:pPr>
      <w:r>
        <w:t>Mise à jour automatique du poste activée et obligatoire (OS, navigateur, EDR).</w:t>
      </w:r>
    </w:p>
    <w:p>
      <w:pPr>
        <w:spacing w:before="360" w:after="160"/>
        <w:pBdr>
          <w:bottom w:val="single" w:sz="8" w:space="1" w:color="1F4E79"/>
        </w:pBdr>
      </w:pPr>
      <w:r>
        <w:rPr>
          <w:b/>
          <w:color w:val="0B2545"/>
          <w:sz w:val="36"/>
        </w:rPr>
        <w:t>5. Sécurité physique du poste de télétravail</w:t>
      </w:r>
    </w:p>
    <w:p>
      <w:pPr>
        <w:pStyle w:val="ListBullet"/>
        <w:spacing w:after="40"/>
      </w:pPr>
      <w:r>
        <w:t>Verrouillage de la session lors de toute absence (&lt; 10 minutes ou Win+L systématique).</w:t>
      </w:r>
    </w:p>
    <w:p>
      <w:pPr>
        <w:pStyle w:val="ListBullet"/>
        <w:spacing w:after="40"/>
      </w:pPr>
      <w:r>
        <w:t>Préservation de la confidentialité visuelle (filtre écran si environnement partagé).</w:t>
      </w:r>
    </w:p>
    <w:p>
      <w:pPr>
        <w:pStyle w:val="ListBullet"/>
        <w:spacing w:after="40"/>
      </w:pPr>
      <w:r>
        <w:t>Conservation du matériel à l'abri du vol (pas dans un véhicule, dans une chambre d'hôtel à vue).</w:t>
      </w:r>
    </w:p>
    <w:p>
      <w:pPr>
        <w:pStyle w:val="ListBullet"/>
        <w:spacing w:after="40"/>
      </w:pPr>
      <w:r>
        <w:t>Pas d'utilisation par les membres du foyer (enfants, conjoint, etc.).</w:t>
      </w:r>
    </w:p>
    <w:p>
      <w:pPr>
        <w:pStyle w:val="ListBullet"/>
        <w:spacing w:after="40"/>
      </w:pPr>
      <w:r>
        <w:t>Câbles antivol recommandés pour les sessions en lieu public.</w:t>
      </w:r>
    </w:p>
    <w:p>
      <w:pPr>
        <w:spacing w:before="360" w:after="160"/>
        <w:pBdr>
          <w:bottom w:val="single" w:sz="8" w:space="1" w:color="1F4E79"/>
        </w:pBdr>
      </w:pPr>
      <w:r>
        <w:rPr>
          <w:b/>
          <w:color w:val="0B2545"/>
          <w:sz w:val="36"/>
        </w:rPr>
        <w:t>6. Gestion des données et confidentialité</w:t>
      </w:r>
    </w:p>
    <w:p>
      <w:pPr>
        <w:pStyle w:val="ListBullet"/>
        <w:spacing w:after="40"/>
      </w:pPr>
      <w:r>
        <w:t>Aucune impression de document classifié Confidentiel/Restreint sur une imprimante non maîtrisée.</w:t>
      </w:r>
    </w:p>
    <w:p>
      <w:pPr>
        <w:pStyle w:val="ListBullet"/>
        <w:spacing w:after="40"/>
      </w:pPr>
      <w:r>
        <w:t>Conversations professionnelles sensibles dans un espace clos (pas en open-space ou café).</w:t>
      </w:r>
    </w:p>
    <w:p>
      <w:pPr>
        <w:pStyle w:val="ListBullet"/>
        <w:spacing w:after="40"/>
      </w:pPr>
      <w:r>
        <w:t>Visioconférences sensibles avec arrière-plan flouté ou virtuel imposé.</w:t>
      </w:r>
    </w:p>
    <w:p>
      <w:pPr>
        <w:pStyle w:val="ListBullet"/>
        <w:spacing w:after="40"/>
      </w:pPr>
      <w:r>
        <w:t>Documents papier détruits via broyeur conforme NF EN 15713 niveau P-4 minimum.</w:t>
      </w:r>
    </w:p>
    <w:p>
      <w:pPr>
        <w:pStyle w:val="ListBullet"/>
        <w:spacing w:after="40"/>
      </w:pPr>
      <w:r>
        <w:t>Pas de stockage de données professionnelles sur des supports personnels (clés USB perso, NAS familial, cloud personnel).</w:t>
      </w:r>
    </w:p>
    <w:p>
      <w:pPr>
        <w:spacing w:before="360" w:after="160"/>
        <w:pBdr>
          <w:bottom w:val="single" w:sz="8" w:space="1" w:color="1F4E79"/>
        </w:pBdr>
      </w:pPr>
      <w:r>
        <w:rPr>
          <w:b/>
          <w:color w:val="0B2545"/>
          <w:sz w:val="36"/>
        </w:rPr>
        <w:t>7. Droit à la déconnexion</w:t>
      </w:r>
    </w:p>
    <w:p>
      <w:pPr>
        <w:spacing w:line="312" w:lineRule="auto"/>
        <w:jc w:val="both"/>
      </w:pPr>
      <w:r>
        <w:t>Conformément à l'art. L.2242-17 du Code du travail, le télétravailleur dispose d'un droit à la déconnexion en dehors des plages de travail définies. Les outils de communication (messagerie, chat) ne doivent pas être consultés en dehors de ces plages, sauf astreinte explicite. Les notifications professionnelles sur équipements personnels doivent être désactivées par défaut.</w:t>
      </w:r>
    </w:p>
    <w:p>
      <w:pPr>
        <w:spacing w:before="360" w:after="160"/>
        <w:pBdr>
          <w:bottom w:val="single" w:sz="8" w:space="1" w:color="1F4E79"/>
        </w:pBdr>
      </w:pPr>
      <w:r>
        <w:rPr>
          <w:b/>
          <w:color w:val="0B2545"/>
          <w:sz w:val="36"/>
        </w:rPr>
        <w:t>8. Incidents et signalement</w:t>
      </w:r>
    </w:p>
    <w:p>
      <w:pPr>
        <w:spacing w:line="312" w:lineRule="auto"/>
        <w:jc w:val="both"/>
      </w:pPr>
      <w:r>
        <w:t>Tout incident (perte, vol, suspicion de compromission, comportement anormal du poste) doit être signalé au SOC dans l'heure qui suit la découverte, par téléphone (24/7) ou via le portail incidents. La procédure de gestion des incidents s'applique (notification CNIL sous 72 h en cas de violation de données personnelles).</w:t>
      </w:r>
    </w:p>
    <w:p>
      <w:pPr>
        <w:spacing w:before="360" w:after="160"/>
        <w:pBdr>
          <w:bottom w:val="single" w:sz="8" w:space="1" w:color="1F4E79"/>
        </w:pBdr>
      </w:pPr>
      <w:r>
        <w:rPr>
          <w:b/>
          <w:color w:val="0B2545"/>
          <w:sz w:val="36"/>
        </w:rPr>
        <w:t>9. Conformité légale (Code du travail)</w:t>
      </w:r>
    </w:p>
    <w:p>
      <w:pPr>
        <w:pStyle w:val="ListBullet"/>
        <w:spacing w:after="40"/>
      </w:pPr>
      <w:r>
        <w:t>Accord ANI du 26 novembre 2020 sur le télétravail.</w:t>
      </w:r>
    </w:p>
    <w:p>
      <w:pPr>
        <w:pStyle w:val="ListBullet"/>
        <w:spacing w:after="40"/>
      </w:pPr>
      <w:r>
        <w:t>Articles L.1222-9 à L.1222-11 du Code du travail.</w:t>
      </w:r>
    </w:p>
    <w:p>
      <w:pPr>
        <w:pStyle w:val="ListBullet"/>
        <w:spacing w:after="40"/>
      </w:pPr>
      <w:r>
        <w:t>Article L.2242-17 — Droit à la déconnexion.</w:t>
      </w:r>
    </w:p>
    <w:p>
      <w:pPr>
        <w:pStyle w:val="ListBullet"/>
        <w:spacing w:after="40"/>
      </w:pPr>
      <w:r>
        <w:t>RGPD — Article 32 (sécurité du traitement).</w:t>
      </w:r>
    </w:p>
    <w:p>
      <w:pPr>
        <w:pStyle w:val="ListBullet"/>
        <w:spacing w:after="40"/>
      </w:pPr>
      <w:r>
        <w:t>ANSSI — Guide « Recommandations sur le télétravail » (mars 2020).</w:t>
      </w:r>
    </w:p>
    <w:sectPr w:rsidR="00FC693F" w:rsidRPr="0006063C" w:rsidSect="00034616">
      <w:headerReference w:type="default" r:id="rId9"/>
      <w:footerReference w:type="default" r:id="rId10"/>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tblLook w:firstColumn="1" w:firstRow="1" w:lastColumn="0" w:lastRow="0" w:noHBand="0" w:noVBand="1" w:val="04A0"/>
    </w:tblPr>
    <w:tblGrid>
      <w:gridCol w:w="3213"/>
      <w:gridCol w:w="3213"/>
      <w:gridCol w:w="3213"/>
    </w:tblGrid>
    <w:tr>
      <w:tc>
        <w:tcPr>
          <w:tcW w:type="dxa" w:w="3213"/>
        </w:tcPr>
        <w:p>
          <w:r>
            <w:rPr>
              <w:color w:val="595959"/>
              <w:sz w:val="16"/>
            </w:rPr>
            <w:t>© Ayinedjimi Consultants — ayinedjimi-consultants.fr</w:t>
          </w:r>
        </w:p>
      </w:tc>
      <w:tc>
        <w:tcPr>
          <w:tcW w:type="dxa" w:w="3213"/>
        </w:tcPr>
        <w:p>
          <w:pPr>
            <w:jc w:val="center"/>
          </w:pPr>
          <w:r>
            <w:rPr>
              <w:color w:val="595959"/>
              <w:sz w:val="16"/>
            </w:rPr>
            <w:t>Document confidentiel — Usage interne</w:t>
          </w:r>
        </w:p>
      </w:tc>
      <w:tc>
        <w:tcPr>
          <w:tcW w:type="dxa" w:w="3213"/>
        </w:tcPr>
        <w:p>
          <w:pPr>
            <w:jc w:val="right"/>
          </w:pPr>
          <w:r>
            <w:rPr>
              <w:color w:val="595959"/>
              <w:sz w:val="16"/>
            </w:rPr>
            <w:t xml:space="preserve">Page </w:t>
            <w:fldSimple w:instr="PAGE \* MERGEFORMAT">
              <w:r>
                <w:t>1</w:t>
              </w:r>
            </w:fldSimple>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ayout w:type="autofit"/>
      <w:tblLook w:firstColumn="1" w:firstRow="1" w:lastColumn="0" w:lastRow="0" w:noHBand="0" w:noVBand="1" w:val="04A0"/>
    </w:tblPr>
    <w:tblGrid>
      <w:gridCol w:w="4819"/>
      <w:gridCol w:w="4819"/>
    </w:tblGrid>
    <w:tr>
      <w:tc>
        <w:tcPr>
          <w:tcW w:type="dxa" w:w="4819"/>
        </w:tcPr>
        <w:p>
          <w:pPr>
            <w:jc w:val="left"/>
          </w:pPr>
          <w:r>
            <w:rPr>
              <w:color w:val="595959"/>
              <w:sz w:val="18"/>
            </w:rPr>
            <w:t>ayinedjimi-consultants.fr</w:t>
          </w:r>
        </w:p>
      </w:tc>
      <w:tc>
        <w:tcPr>
          <w:tcW w:type="dxa" w:w="4819"/>
        </w:tcPr>
        <w:p>
          <w:pPr>
            <w:jc w:val="right"/>
          </w:pPr>
          <w:r>
            <w:rPr>
              <w:color w:val="595959"/>
              <w:sz w:val="18"/>
            </w:rPr>
            <w:t>ISO/IEC 27001:2022 — Template Gratuit</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