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Politique de sécurité des services cloud</w:t>
      </w:r>
    </w:p>
    <w:p>
      <w:pPr>
        <w:jc w:val="center"/>
      </w:pPr>
      <w:r>
        <w:rPr>
          <w:i/>
          <w:color w:val="555555"/>
          <w:sz w:val="26"/>
        </w:rPr>
        <w:t>Qualification provider, certifications, DPA et audit — Contrôle A.5.23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POL-SMSI-CLD-001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Principes directeurs</w:t>
      </w:r>
    </w:p>
    <w:p>
      <w:pPr>
        <w:ind w:left="0"/>
      </w:pPr>
      <w:r>
        <w:rPr>
          <w:b/>
          <w:color w:val="1F3A5F"/>
          <w:sz w:val="22"/>
        </w:rPr>
        <w:t>4  Qualification des fournisseurs cloud</w:t>
      </w:r>
    </w:p>
    <w:p>
      <w:pPr>
        <w:ind w:left="283"/>
      </w:pPr>
      <w:r>
        <w:rPr>
          <w:sz w:val="22"/>
        </w:rPr>
        <w:t>4.1  Catégories de services</w:t>
      </w:r>
    </w:p>
    <w:p>
      <w:pPr>
        <w:ind w:left="283"/>
      </w:pPr>
      <w:r>
        <w:rPr>
          <w:sz w:val="22"/>
        </w:rPr>
        <w:t>4.2  Grille d'évaluation</w:t>
      </w:r>
    </w:p>
    <w:p>
      <w:pPr>
        <w:ind w:left="0"/>
      </w:pPr>
      <w:r>
        <w:rPr>
          <w:b/>
          <w:color w:val="1F3A5F"/>
          <w:sz w:val="22"/>
        </w:rPr>
        <w:t>5  Certifications et référentiels exigés</w:t>
      </w:r>
    </w:p>
    <w:p>
      <w:pPr>
        <w:ind w:left="283"/>
      </w:pPr>
      <w:r>
        <w:rPr>
          <w:sz w:val="22"/>
        </w:rPr>
        <w:t>5.1  SecNumCloud (ANSSI)</w:t>
      </w:r>
    </w:p>
    <w:p>
      <w:pPr>
        <w:ind w:left="283"/>
      </w:pPr>
      <w:r>
        <w:rPr>
          <w:sz w:val="22"/>
        </w:rPr>
        <w:t>5.2  HDS pour données de santé</w:t>
      </w:r>
    </w:p>
    <w:p>
      <w:pPr>
        <w:ind w:left="283"/>
      </w:pPr>
      <w:r>
        <w:rPr>
          <w:sz w:val="22"/>
        </w:rPr>
        <w:t>5.3  ISO 27017 / 27018</w:t>
      </w:r>
    </w:p>
    <w:p>
      <w:pPr>
        <w:ind w:left="283"/>
      </w:pPr>
      <w:r>
        <w:rPr>
          <w:sz w:val="22"/>
        </w:rPr>
        <w:t>5.4  Autres référentiels</w:t>
      </w:r>
    </w:p>
    <w:p>
      <w:pPr>
        <w:ind w:left="0"/>
      </w:pPr>
      <w:r>
        <w:rPr>
          <w:b/>
          <w:color w:val="1F3A5F"/>
          <w:sz w:val="22"/>
        </w:rPr>
        <w:t>6  Contrat et DPA (article 28 RGPD)</w:t>
      </w:r>
    </w:p>
    <w:p>
      <w:pPr>
        <w:ind w:left="0"/>
      </w:pPr>
      <w:r>
        <w:rPr>
          <w:b/>
          <w:color w:val="1F3A5F"/>
          <w:sz w:val="22"/>
        </w:rPr>
        <w:t>7  Sécurité opérationnelle</w:t>
      </w:r>
    </w:p>
    <w:p>
      <w:pPr>
        <w:ind w:left="0"/>
      </w:pPr>
      <w:r>
        <w:rPr>
          <w:b/>
          <w:color w:val="1F3A5F"/>
          <w:sz w:val="22"/>
        </w:rPr>
        <w:t>8  Audit et droit de regard</w:t>
      </w:r>
    </w:p>
    <w:p>
      <w:pPr>
        <w:ind w:left="0"/>
      </w:pPr>
      <w:r>
        <w:rPr>
          <w:b/>
          <w:color w:val="1F3A5F"/>
          <w:sz w:val="22"/>
        </w:rPr>
        <w:t>9  Réversibilité et exit strategy</w:t>
      </w:r>
    </w:p>
    <w:p>
      <w:pPr>
        <w:ind w:left="0"/>
      </w:pPr>
      <w:r>
        <w:rPr>
          <w:b/>
          <w:color w:val="1F3A5F"/>
          <w:sz w:val="22"/>
        </w:rPr>
        <w:t>10  Transferts internationaux</w:t>
      </w:r>
    </w:p>
    <w:p>
      <w:pPr>
        <w:ind w:left="0"/>
      </w:pPr>
      <w:r>
        <w:rPr>
          <w:b/>
          <w:color w:val="1F3A5F"/>
          <w:sz w:val="22"/>
        </w:rPr>
        <w:t>11  Indicateurs et surveillance</w:t>
      </w:r>
    </w:p>
    <w:p>
      <w:pPr>
        <w:ind w:left="0"/>
      </w:pPr>
      <w:r>
        <w:rPr>
          <w:b/>
          <w:color w:val="1F3A5F"/>
          <w:sz w:val="22"/>
        </w:rPr>
        <w:t>12  Revue et amélioration</w:t>
      </w:r>
    </w:p>
    <w:p>
      <w:pPr>
        <w:ind w:left="0"/>
      </w:pPr>
      <w:r>
        <w:rPr>
          <w:b/>
          <w:color w:val="1F3A5F"/>
          <w:sz w:val="22"/>
        </w:rPr>
        <w:t>13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politique définit les exigences de l'organisme relatives à l'utilisation de services cloud (SaaS, PaaS, IaaS), conformément au contrôle A.5.23 de la norme ISO/IEC 27001:2022. Elle s'applique à toute consommation de service cloud par les directions opérationnelles, sans exception, y compris les services de type 'shadow IT' qui doivent être régularisés.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— Annexe A.5.23</w:t>
      </w:r>
    </w:p>
    <w:p>
      <w:pPr>
        <w:pStyle w:val="ListBullet"/>
        <w:ind w:left="283"/>
      </w:pPr>
      <w:r/>
      <w:r>
        <w:rPr>
          <w:sz w:val="22"/>
        </w:rPr>
        <w:t>ISO/IEC 27017:2015 — Sécurité du cloud computing</w:t>
      </w:r>
    </w:p>
    <w:p>
      <w:pPr>
        <w:pStyle w:val="ListBullet"/>
        <w:ind w:left="283"/>
      </w:pPr>
      <w:r/>
      <w:r>
        <w:rPr>
          <w:sz w:val="22"/>
        </w:rPr>
        <w:t>ISO/IEC 27018:2019 — Protection PII dans le cloud public</w:t>
      </w:r>
    </w:p>
    <w:p>
      <w:pPr>
        <w:pStyle w:val="ListBullet"/>
        <w:ind w:left="283"/>
      </w:pPr>
      <w:r/>
      <w:r>
        <w:rPr>
          <w:sz w:val="22"/>
        </w:rPr>
        <w:t>ANSSI — Référentiel SecNumCloud v3.2</w:t>
      </w:r>
    </w:p>
    <w:p>
      <w:pPr>
        <w:pStyle w:val="ListBullet"/>
        <w:ind w:left="283"/>
      </w:pPr>
      <w:r/>
      <w:r>
        <w:rPr>
          <w:sz w:val="22"/>
        </w:rPr>
        <w:t>ANS — Référentiel HDS (Hébergeur de Données de Santé)</w:t>
      </w:r>
    </w:p>
    <w:p>
      <w:pPr>
        <w:pStyle w:val="ListBullet"/>
        <w:ind w:left="283"/>
      </w:pPr>
      <w:r/>
      <w:r>
        <w:rPr>
          <w:sz w:val="22"/>
        </w:rPr>
        <w:t>RGPD — articles 28 (sous-traitance), 32 (sécurité), 44-50 (transferts)</w:t>
      </w:r>
    </w:p>
    <w:p>
      <w:pPr>
        <w:pStyle w:val="ListBullet"/>
        <w:ind w:left="283"/>
      </w:pPr>
      <w:r/>
      <w:r>
        <w:rPr>
          <w:sz w:val="22"/>
        </w:rPr>
        <w:t>EBA — Guidelines on outsourcing arrangements (secteur financier)</w:t>
      </w:r>
    </w:p>
    <w:p>
      <w:pPr>
        <w:pStyle w:val="ListBullet"/>
        <w:ind w:left="283"/>
      </w:pPr>
      <w:r/>
      <w:r>
        <w:rPr>
          <w:sz w:val="22"/>
        </w:rPr>
        <w:t>EU Cloud Code of Conduct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Principes directeurs</w:t>
      </w:r>
    </w:p>
    <w:p>
      <w:pPr>
        <w:pStyle w:val="ListBullet"/>
        <w:ind w:left="283"/>
      </w:pPr>
      <w:r/>
      <w:r>
        <w:rPr>
          <w:sz w:val="22"/>
        </w:rPr>
        <w:t>Cloud-smart, pas cloud-first ni cloud-only — choix motivé par les risques et bénéfices</w:t>
      </w:r>
    </w:p>
    <w:p>
      <w:pPr>
        <w:pStyle w:val="ListBullet"/>
        <w:ind w:left="283"/>
      </w:pPr>
      <w:r/>
      <w:r>
        <w:rPr>
          <w:sz w:val="22"/>
        </w:rPr>
        <w:t>Souveraineté : localisation des données en UE par défaut</w:t>
      </w:r>
    </w:p>
    <w:p>
      <w:pPr>
        <w:pStyle w:val="ListBullet"/>
        <w:ind w:left="283"/>
      </w:pPr>
      <w:r/>
      <w:r>
        <w:rPr>
          <w:sz w:val="22"/>
        </w:rPr>
        <w:t>Chiffrement systématique at-rest et in-transit, gestion clés chez le client (BYOK/HYOK) si possible</w:t>
      </w:r>
    </w:p>
    <w:p>
      <w:pPr>
        <w:pStyle w:val="ListBullet"/>
        <w:ind w:left="283"/>
      </w:pPr>
      <w:r/>
      <w:r>
        <w:rPr>
          <w:sz w:val="22"/>
        </w:rPr>
        <w:t>Modèle de responsabilité partagée (Shared Responsibility Model) clairement documenté</w:t>
      </w:r>
    </w:p>
    <w:p>
      <w:pPr>
        <w:pStyle w:val="ListBullet"/>
        <w:ind w:left="283"/>
      </w:pPr>
      <w:r/>
      <w:r>
        <w:rPr>
          <w:sz w:val="22"/>
        </w:rPr>
        <w:t>Réversibilité contractuellement garantie</w:t>
      </w:r>
    </w:p>
    <w:p>
      <w:pPr>
        <w:pStyle w:val="ListBullet"/>
        <w:ind w:left="283"/>
      </w:pPr>
      <w:r/>
      <w:r>
        <w:rPr>
          <w:sz w:val="22"/>
        </w:rPr>
        <w:t>Aucun service cloud non qualifié ne traite de DCP ou d'informations C2+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Qualification des fournisseurs cloud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4.1  Catégories de services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Catégorie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68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Exemples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IaaS hyperscaler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Infrastructure cloud public régional</w:t>
            </w:r>
          </w:p>
        </w:tc>
        <w:tc>
          <w:tcPr>
            <w:tcW w:type="dxa" w:w="368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AWS, Azure, GCP, OVHcloud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IaaS qualifié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Cloud souverain qualifié ANSSI</w:t>
            </w:r>
          </w:p>
        </w:tc>
        <w:tc>
          <w:tcPr>
            <w:tcW w:type="dxa" w:w="368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Outscale, OVHcloud Bare Metal, Cleyrop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PaaS / DBaaS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Plateformes managées</w:t>
            </w:r>
          </w:p>
        </w:tc>
        <w:tc>
          <w:tcPr>
            <w:tcW w:type="dxa" w:w="368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Azure SQL, AWS RDS, MongoDB Atlas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SaaS critique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Outils métier centraux</w:t>
            </w:r>
          </w:p>
        </w:tc>
        <w:tc>
          <w:tcPr>
            <w:tcW w:type="dxa" w:w="368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M365, Workspace, Salesforce, SAP S/4 Cloud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SaaS standard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Outils support / collaboratifs</w:t>
            </w:r>
          </w:p>
        </w:tc>
        <w:tc>
          <w:tcPr>
            <w:tcW w:type="dxa" w:w="368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Notion, Trello, Zoom, Asana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4.2  Grille d'évaluation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9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Critère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Pondération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Méthode</w:t>
            </w:r>
          </w:p>
        </w:tc>
      </w:tr>
      <w:tr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Certifications (ISO 27001, 27017, 27018, SOC 2)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20%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Attestations à jour</w:t>
            </w:r>
          </w:p>
        </w:tc>
      </w:tr>
      <w:tr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Localisation données et instances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15%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Engagement contractuel + technique</w:t>
            </w:r>
          </w:p>
        </w:tc>
      </w:tr>
      <w:tr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Mesures techniques (TOM annexe DPA)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15%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Annexe DPA + questionnaire CAIQ</w:t>
            </w:r>
          </w:p>
        </w:tc>
      </w:tr>
      <w:tr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Modèle de responsabilité partagée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10%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Documentation et test</w:t>
            </w:r>
          </w:p>
        </w:tc>
      </w:tr>
      <w:tr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Réversibilité et portabilité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10%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Clauses contractuelles + test</w:t>
            </w:r>
          </w:p>
        </w:tc>
      </w:tr>
      <w:tr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Notification incident et droits CNIL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10%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Clauses contractuelles, SLA</w:t>
            </w:r>
          </w:p>
        </w:tc>
      </w:tr>
      <w:tr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Audit possible (questionnaire, droit visite)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10%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Clauses contractuelles</w:t>
            </w:r>
          </w:p>
        </w:tc>
      </w:tr>
      <w:tr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Pérennité financière du fournisseur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5%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Étude financière (Bilan, Dun &amp; Bradstreet)</w:t>
            </w:r>
          </w:p>
        </w:tc>
      </w:tr>
      <w:tr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Références sectorielles comparables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5%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Étude clients existants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Certifications et référentiels exigés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SecNumCloud (ANSSI)</w:t>
      </w:r>
    </w:p>
    <w:p>
      <w:pPr>
        <w:pStyle w:val="ListBullet"/>
        <w:ind w:left="283"/>
      </w:pPr>
      <w:r/>
      <w:r>
        <w:rPr>
          <w:sz w:val="22"/>
        </w:rPr>
        <w:t>Exigé pour les usages les plus sensibles (souveraineté forte, OIV/OSE, secteur public)</w:t>
      </w:r>
    </w:p>
    <w:p>
      <w:pPr>
        <w:pStyle w:val="ListBullet"/>
        <w:ind w:left="283"/>
      </w:pPr>
      <w:r/>
      <w:r>
        <w:rPr>
          <w:sz w:val="22"/>
        </w:rPr>
        <w:t>Vérifier la portée exacte de la qualification (offres, régions, services)</w:t>
      </w:r>
    </w:p>
    <w:p>
      <w:pPr>
        <w:pStyle w:val="ListBullet"/>
        <w:ind w:left="283"/>
      </w:pPr>
      <w:r/>
      <w:r>
        <w:rPr>
          <w:sz w:val="22"/>
        </w:rPr>
        <w:t>Référentiel SecNumCloud v3.2 — sept axes (gouvernance, identité, données, infrastructure…)</w:t>
      </w:r>
    </w:p>
    <w:p>
      <w:pPr>
        <w:pStyle w:val="ListBullet"/>
        <w:ind w:left="283"/>
      </w:pPr>
      <w:r/>
      <w:r>
        <w:rPr>
          <w:sz w:val="22"/>
        </w:rPr>
        <w:t>Liste à jour publiée par l'ANSSI : ssi.gouv.fr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HDS pour données de santé</w:t>
      </w:r>
    </w:p>
    <w:p>
      <w:pPr>
        <w:pStyle w:val="ListBullet"/>
        <w:ind w:left="283"/>
      </w:pPr>
      <w:r/>
      <w:r>
        <w:rPr>
          <w:sz w:val="22"/>
        </w:rPr>
        <w:t>Obligatoire pour tout hébergement de données de santé à caractère personnel (article L1111-8 CSP)</w:t>
      </w:r>
    </w:p>
    <w:p>
      <w:pPr>
        <w:pStyle w:val="ListBullet"/>
        <w:ind w:left="283"/>
      </w:pPr>
      <w:r/>
      <w:r>
        <w:rPr>
          <w:sz w:val="22"/>
        </w:rPr>
        <w:t>Certification HDS délivrée par organismes accrédités COFRAC</w:t>
      </w:r>
    </w:p>
    <w:p>
      <w:pPr>
        <w:pStyle w:val="ListBullet"/>
        <w:ind w:left="283"/>
      </w:pPr>
      <w:r/>
      <w:r>
        <w:rPr>
          <w:sz w:val="22"/>
        </w:rPr>
        <w:t>Vérification du périmètre certifié (datacenters, infrastructure et/ou application)</w:t>
      </w:r>
    </w:p>
    <w:p>
      <w:pPr>
        <w:pStyle w:val="ListBullet"/>
        <w:ind w:left="283"/>
      </w:pPr>
      <w:r/>
      <w:r>
        <w:rPr>
          <w:sz w:val="22"/>
        </w:rPr>
        <w:t>Convention HDS signée et annexée au contrat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5.3  ISO 27017 / 27018</w:t>
      </w:r>
    </w:p>
    <w:p>
      <w:pPr>
        <w:pStyle w:val="ListBullet"/>
        <w:ind w:left="283"/>
      </w:pPr>
      <w:r/>
      <w:r>
        <w:rPr>
          <w:sz w:val="22"/>
        </w:rPr>
        <w:t>ISO 27017 : extensions ISO 27002 pour le cloud — exigences fournisseur et client</w:t>
      </w:r>
    </w:p>
    <w:p>
      <w:pPr>
        <w:pStyle w:val="ListBullet"/>
        <w:ind w:left="283"/>
      </w:pPr>
      <w:r/>
      <w:r>
        <w:rPr>
          <w:sz w:val="22"/>
        </w:rPr>
        <w:t>ISO 27018 : protection des PII dans les services de cloud public</w:t>
      </w:r>
    </w:p>
    <w:p>
      <w:pPr>
        <w:pStyle w:val="ListBullet"/>
        <w:ind w:left="283"/>
      </w:pPr>
      <w:r/>
      <w:r>
        <w:rPr>
          <w:sz w:val="22"/>
        </w:rPr>
        <w:t>Certifications recherchées en complément d'ISO 27001 — preuve de maturité spécifique cloud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5.4  Autres référentiels</w:t>
      </w:r>
    </w:p>
    <w:p>
      <w:pPr>
        <w:pStyle w:val="ListBullet"/>
        <w:ind w:left="283"/>
      </w:pPr>
      <w:r/>
      <w:r>
        <w:rPr>
          <w:sz w:val="22"/>
        </w:rPr>
        <w:t>SOC 2 Type II — attestation USA, valable, attention au scope et trust services criteria</w:t>
      </w:r>
    </w:p>
    <w:p>
      <w:pPr>
        <w:pStyle w:val="ListBullet"/>
        <w:ind w:left="283"/>
      </w:pPr>
      <w:r/>
      <w:r>
        <w:rPr>
          <w:sz w:val="22"/>
        </w:rPr>
        <w:t>C5 (BSI Allemagne) — référentiel cloud allemand reconnu</w:t>
      </w:r>
    </w:p>
    <w:p>
      <w:pPr>
        <w:pStyle w:val="ListBullet"/>
        <w:ind w:left="283"/>
      </w:pPr>
      <w:r/>
      <w:r>
        <w:rPr>
          <w:sz w:val="22"/>
        </w:rPr>
        <w:t>ENS (Espagne) — référentiel administrations publiques</w:t>
      </w:r>
    </w:p>
    <w:p>
      <w:pPr>
        <w:pStyle w:val="ListBullet"/>
        <w:ind w:left="283"/>
      </w:pPr>
      <w:r/>
      <w:r>
        <w:rPr>
          <w:sz w:val="22"/>
        </w:rPr>
        <w:t>EU Cloud Code of Conduct — adhésion volontaire, valeur ajoutée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Contrat et DPA (article 28 RGPD)</w:t>
      </w:r>
    </w:p>
    <w:p>
      <w:pPr>
        <w:jc w:val="both"/>
      </w:pPr>
      <w:r>
        <w:rPr>
          <w:b w:val="0"/>
          <w:i w:val="0"/>
          <w:sz w:val="22"/>
        </w:rPr>
        <w:t>Tout contrat cloud impliquant le traitement de données à caractère personnel comporte un DPA conforme à l'article 28 RGPD. Clauses minimales :</w:t>
      </w:r>
    </w:p>
    <w:p>
      <w:pPr>
        <w:pStyle w:val="ListBullet"/>
        <w:ind w:left="283"/>
      </w:pPr>
      <w:r/>
      <w:r>
        <w:rPr>
          <w:sz w:val="22"/>
        </w:rPr>
        <w:t>Objet, durée, nature et finalité du traitement, types de DCP, catégories de personnes</w:t>
      </w:r>
    </w:p>
    <w:p>
      <w:pPr>
        <w:pStyle w:val="ListBullet"/>
        <w:ind w:left="283"/>
      </w:pPr>
      <w:r/>
      <w:r>
        <w:rPr>
          <w:sz w:val="22"/>
        </w:rPr>
        <w:t>Obligations et droits du responsable de traitement</w:t>
      </w:r>
    </w:p>
    <w:p>
      <w:pPr>
        <w:pStyle w:val="ListBullet"/>
        <w:ind w:left="283"/>
      </w:pPr>
      <w:r/>
      <w:r>
        <w:rPr>
          <w:sz w:val="22"/>
        </w:rPr>
        <w:t>Instructions documentées du responsable</w:t>
      </w:r>
    </w:p>
    <w:p>
      <w:pPr>
        <w:pStyle w:val="ListBullet"/>
        <w:ind w:left="283"/>
      </w:pPr>
      <w:r/>
      <w:r>
        <w:rPr>
          <w:sz w:val="22"/>
        </w:rPr>
        <w:t>Confidentialité des personnes habilitées</w:t>
      </w:r>
    </w:p>
    <w:p>
      <w:pPr>
        <w:pStyle w:val="ListBullet"/>
        <w:ind w:left="283"/>
      </w:pPr>
      <w:r/>
      <w:r>
        <w:rPr>
          <w:sz w:val="22"/>
        </w:rPr>
        <w:t>Mesures de sécurité techniques et organisationnelles (annexe TOM)</w:t>
      </w:r>
    </w:p>
    <w:p>
      <w:pPr>
        <w:pStyle w:val="ListBullet"/>
        <w:ind w:left="283"/>
      </w:pPr>
      <w:r/>
      <w:r>
        <w:rPr>
          <w:sz w:val="22"/>
        </w:rPr>
        <w:t>Recours à sous-traitants ultérieurs — autorisation préalable, DPA en cascade</w:t>
      </w:r>
    </w:p>
    <w:p>
      <w:pPr>
        <w:pStyle w:val="ListBullet"/>
        <w:ind w:left="283"/>
      </w:pPr>
      <w:r/>
      <w:r>
        <w:rPr>
          <w:sz w:val="22"/>
        </w:rPr>
        <w:t>Assistance aux droits des personnes (accès, rectification, effacement, portabilité)</w:t>
      </w:r>
    </w:p>
    <w:p>
      <w:pPr>
        <w:pStyle w:val="ListBullet"/>
        <w:ind w:left="283"/>
      </w:pPr>
      <w:r/>
      <w:r>
        <w:rPr>
          <w:sz w:val="22"/>
        </w:rPr>
        <w:t>Notification des violations sans délai injustifié, max 24h ouvrées</w:t>
      </w:r>
    </w:p>
    <w:p>
      <w:pPr>
        <w:pStyle w:val="ListBullet"/>
        <w:ind w:left="283"/>
      </w:pPr>
      <w:r/>
      <w:r>
        <w:rPr>
          <w:sz w:val="22"/>
        </w:rPr>
        <w:t>Aide à la documentation PIA et à la consultation préalable CNIL</w:t>
      </w:r>
    </w:p>
    <w:p>
      <w:pPr>
        <w:pStyle w:val="ListBullet"/>
        <w:ind w:left="283"/>
      </w:pPr>
      <w:r/>
      <w:r>
        <w:rPr>
          <w:sz w:val="22"/>
        </w:rPr>
        <w:t>Suppression ou restitution des DCP en fin de contrat</w:t>
      </w:r>
    </w:p>
    <w:p>
      <w:pPr>
        <w:pStyle w:val="ListBullet"/>
        <w:ind w:left="283"/>
      </w:pPr>
      <w:r/>
      <w:r>
        <w:rPr>
          <w:sz w:val="22"/>
        </w:rPr>
        <w:t>Mise à disposition des informations nécessaires aux audits, y compris inspections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Sécurité opérationnelle</w:t>
      </w:r>
    </w:p>
    <w:p>
      <w:pPr>
        <w:pStyle w:val="ListBullet"/>
        <w:ind w:left="283"/>
      </w:pPr>
      <w:r/>
      <w:r>
        <w:rPr>
          <w:sz w:val="22"/>
        </w:rPr>
        <w:t>Authentification : SSO + MFA FIDO2 obligatoire pour tous les accès cloud admin</w:t>
      </w:r>
    </w:p>
    <w:p>
      <w:pPr>
        <w:pStyle w:val="ListBullet"/>
        <w:ind w:left="283"/>
      </w:pPr>
      <w:r/>
      <w:r>
        <w:rPr>
          <w:sz w:val="22"/>
        </w:rPr>
        <w:t>Comptes admins : PAM, JIT, session recording</w:t>
      </w:r>
    </w:p>
    <w:p>
      <w:pPr>
        <w:pStyle w:val="ListBullet"/>
        <w:ind w:left="283"/>
      </w:pPr>
      <w:r/>
      <w:r>
        <w:rPr>
          <w:sz w:val="22"/>
        </w:rPr>
        <w:t>Logs : export systématique au SIEM (CloudTrail, Activity Log, Audit Logs)</w:t>
      </w:r>
    </w:p>
    <w:p>
      <w:pPr>
        <w:pStyle w:val="ListBullet"/>
        <w:ind w:left="283"/>
      </w:pPr>
      <w:r/>
      <w:r>
        <w:rPr>
          <w:sz w:val="22"/>
        </w:rPr>
        <w:t>CSPM : Prisma Cloud / Wiz / Defender for Cloud sur tous les comptes/abonnements</w:t>
      </w:r>
    </w:p>
    <w:p>
      <w:pPr>
        <w:pStyle w:val="ListBullet"/>
        <w:ind w:left="283"/>
      </w:pPr>
      <w:r/>
      <w:r>
        <w:rPr>
          <w:sz w:val="22"/>
        </w:rPr>
        <w:t>Chiffrement at-rest : par défaut activé ; BYOK ou HYOK pour C2+</w:t>
      </w:r>
    </w:p>
    <w:p>
      <w:pPr>
        <w:pStyle w:val="ListBullet"/>
        <w:ind w:left="283"/>
      </w:pPr>
      <w:r/>
      <w:r>
        <w:rPr>
          <w:sz w:val="22"/>
        </w:rPr>
        <w:t>Réseau : segmentation par compte/subscription, peering chiffré, pas d'IP publique sans WAF</w:t>
      </w:r>
    </w:p>
    <w:p>
      <w:pPr>
        <w:pStyle w:val="ListBullet"/>
        <w:ind w:left="283"/>
      </w:pPr>
      <w:r/>
      <w:r>
        <w:rPr>
          <w:sz w:val="22"/>
        </w:rPr>
        <w:t>Identité : annuaire fédéré, désactivation à l'offboarding sous 4h</w:t>
      </w:r>
    </w:p>
    <w:p>
      <w:pPr>
        <w:pStyle w:val="ListBullet"/>
        <w:ind w:left="283"/>
      </w:pPr>
      <w:r/>
      <w:r>
        <w:rPr>
          <w:sz w:val="22"/>
        </w:rPr>
        <w:t>Sauvegarde : règles 3-2-1-1-0 appliquées (cf. politique sauvegarde)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Audit et droit de regard</w:t>
      </w:r>
    </w:p>
    <w:p>
      <w:pPr>
        <w:pStyle w:val="ListBullet"/>
        <w:ind w:left="283"/>
      </w:pPr>
      <w:r/>
      <w:r>
        <w:rPr>
          <w:sz w:val="22"/>
        </w:rPr>
        <w:t>Questionnaire annuel CAIQ (Consensus Assessments Initiative Questionnaire) renseigné par le fournisseur</w:t>
      </w:r>
    </w:p>
    <w:p>
      <w:pPr>
        <w:pStyle w:val="ListBullet"/>
        <w:ind w:left="283"/>
      </w:pPr>
      <w:r/>
      <w:r>
        <w:rPr>
          <w:sz w:val="22"/>
        </w:rPr>
        <w:t>Communication des rapports d'audit indépendants (SOC 2, ISO 27001 statement of applicability)</w:t>
      </w:r>
    </w:p>
    <w:p>
      <w:pPr>
        <w:pStyle w:val="ListBullet"/>
        <w:ind w:left="283"/>
      </w:pPr>
      <w:r/>
      <w:r>
        <w:rPr>
          <w:sz w:val="22"/>
        </w:rPr>
        <w:t>Droit d'audit contractuel — moyens raisonnables, préavis raisonnable</w:t>
      </w:r>
    </w:p>
    <w:p>
      <w:pPr>
        <w:pStyle w:val="ListBullet"/>
        <w:ind w:left="283"/>
      </w:pPr>
      <w:r/>
      <w:r>
        <w:rPr>
          <w:sz w:val="22"/>
        </w:rPr>
        <w:t>Pour les usages les plus critiques : audit sur site avec préavis raisonnable</w:t>
      </w:r>
    </w:p>
    <w:p>
      <w:pPr>
        <w:pStyle w:val="ListBullet"/>
        <w:ind w:left="283"/>
      </w:pPr>
      <w:r/>
      <w:r>
        <w:rPr>
          <w:sz w:val="22"/>
        </w:rPr>
        <w:t>Tests de pénétration : possibilité contractuelle de pentest ou red team encadrée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Réversibilité et exit strategy</w:t>
      </w:r>
    </w:p>
    <w:p>
      <w:pPr>
        <w:pStyle w:val="ListBullet"/>
        <w:ind w:left="283"/>
      </w:pPr>
      <w:r/>
      <w:r>
        <w:rPr>
          <w:sz w:val="22"/>
        </w:rPr>
        <w:t>Plan de réversibilité documenté contractuellement</w:t>
      </w:r>
    </w:p>
    <w:p>
      <w:pPr>
        <w:pStyle w:val="ListBullet"/>
        <w:ind w:left="283"/>
      </w:pPr>
      <w:r/>
      <w:r>
        <w:rPr>
          <w:sz w:val="22"/>
        </w:rPr>
        <w:t>Format d'export ouvert et documenté (OpenAPI, formats standards)</w:t>
      </w:r>
    </w:p>
    <w:p>
      <w:pPr>
        <w:pStyle w:val="ListBullet"/>
        <w:ind w:left="283"/>
      </w:pPr>
      <w:r/>
      <w:r>
        <w:rPr>
          <w:sz w:val="22"/>
        </w:rPr>
        <w:t>Période d'accompagnement post-résiliation (min 6 mois recommandé)</w:t>
      </w:r>
    </w:p>
    <w:p>
      <w:pPr>
        <w:pStyle w:val="ListBullet"/>
        <w:ind w:left="283"/>
      </w:pPr>
      <w:r/>
      <w:r>
        <w:rPr>
          <w:sz w:val="22"/>
        </w:rPr>
        <w:t>Test de réversibilité sur services critiques : tous les 2 ans minimum</w:t>
      </w:r>
    </w:p>
    <w:p>
      <w:pPr>
        <w:pStyle w:val="ListBullet"/>
        <w:ind w:left="283"/>
      </w:pPr>
      <w:r/>
      <w:r>
        <w:rPr>
          <w:sz w:val="22"/>
        </w:rPr>
        <w:t>Destruction certifiée des données du client à l'issue, avec preuve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Transferts internationaux</w:t>
      </w:r>
    </w:p>
    <w:p>
      <w:pPr>
        <w:pStyle w:val="ListBullet"/>
        <w:ind w:left="283"/>
      </w:pPr>
      <w:r/>
      <w:r>
        <w:rPr>
          <w:sz w:val="22"/>
        </w:rPr>
        <w:t>Localisation par défaut UE/EEE — région spécifiée contractuellement</w:t>
      </w:r>
    </w:p>
    <w:p>
      <w:pPr>
        <w:pStyle w:val="ListBullet"/>
        <w:ind w:left="283"/>
      </w:pPr>
      <w:r/>
      <w:r>
        <w:rPr>
          <w:sz w:val="22"/>
        </w:rPr>
        <w:t>Si transfert hors UE inévitable : CCT 2021 + TIA (Transfer Impact Assessment)</w:t>
      </w:r>
    </w:p>
    <w:p>
      <w:pPr>
        <w:pStyle w:val="ListBullet"/>
        <w:ind w:left="283"/>
      </w:pPr>
      <w:r/>
      <w:r>
        <w:rPr>
          <w:sz w:val="22"/>
        </w:rPr>
        <w:t>Vigilance accrue sur les fournisseurs soumis à des lois extraterritoriales (CLOUD Act US, FISA 702)</w:t>
      </w:r>
    </w:p>
    <w:p>
      <w:pPr>
        <w:pStyle w:val="ListBullet"/>
        <w:ind w:left="283"/>
      </w:pPr>
      <w:r/>
      <w:r>
        <w:rPr>
          <w:sz w:val="22"/>
        </w:rPr>
        <w:t>Mesures complémentaires : chiffrement client-side, pseudonymisation, BYOK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Indicateurs et surveillance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Services cloud référencés dans CMDB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DPA signés sur services traitant DCP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MFA sur comptes admins cloud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100%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Coverage CSPM des comptes cloud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  <w:tr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Findings critiques CSPM ouverts &gt; 30j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0</w:t>
            </w:r>
          </w:p>
        </w:tc>
      </w:tr>
      <w:tr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Test réversibilité réalisé &lt; 2 ans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1 service critique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12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politique en revue de direction</w:t>
      </w:r>
    </w:p>
    <w:p>
      <w:pPr>
        <w:pStyle w:val="ListBullet"/>
        <w:ind w:left="283"/>
      </w:pPr>
      <w:r/>
      <w:r>
        <w:rPr>
          <w:sz w:val="22"/>
        </w:rPr>
        <w:t>Revue annuelle des fournisseurs cloud (renouvellement attestations)</w:t>
      </w:r>
    </w:p>
    <w:p>
      <w:pPr>
        <w:pStyle w:val="ListBullet"/>
        <w:ind w:left="283"/>
      </w:pPr>
      <w:r/>
      <w:r>
        <w:rPr>
          <w:sz w:val="22"/>
        </w:rPr>
        <w:t>Veille trimestrielle ANSSI, ENISA, CSP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13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Politique de sécurité des services cloud — ISO/IEC 27001:2022 — A.5.23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