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9A961"/>
          <w:sz w:val="28"/>
        </w:rPr>
        <w:t>ISO/IEC 27001:2022</w:t>
      </w:r>
    </w:p>
    <w:p>
      <w:pPr>
        <w:spacing w:before="400"/>
        <w:jc w:val="center"/>
      </w:pPr>
      <w:r>
        <w:rPr>
          <w:b/>
          <w:color w:val="1F3A5F"/>
          <w:sz w:val="48"/>
        </w:rPr>
        <w:t>Politique de sécurité réseau</w:t>
      </w:r>
    </w:p>
    <w:p>
      <w:pPr>
        <w:jc w:val="center"/>
      </w:pPr>
      <w:r>
        <w:rPr>
          <w:i/>
          <w:color w:val="555555"/>
          <w:sz w:val="26"/>
        </w:rPr>
        <w:t>Segmentation, Zero Trust, VPN, change firewall — Contrôles A.8.20 à A.8.23</w:t>
      </w:r>
    </w:p>
    <w:tbl>
      <w:tblPr>
        <w:tblW w:type="auto" w:w="0"/>
        <w:jc w:val="center"/>
        <w:tblLook w:firstColumn="1" w:firstRow="1" w:lastColumn="0" w:lastRow="0" w:noHBand="0" w:noVBand="1" w:val="04A0"/>
      </w:tblPr>
      <w:tblGrid>
        <w:gridCol w:w="3118"/>
        <w:gridCol w:w="4535"/>
      </w:tblGrid>
      <w:tr>
        <w:tc>
          <w:tcPr>
            <w:tcW w:type="dxa" w:w="4986"/>
            <w:shd w:fill="F4F1EA" w:val="clear"/>
            <w:tcBorders>
              <w:top w:val="single" w:sz="6" w:color="999999"/>
              <w:left w:val="single" w:sz="6" w:color="999999"/>
              <w:bottom w:val="single" w:sz="6" w:color="999999"/>
              <w:right w:val="single" w:sz="6" w:color="999999"/>
            </w:tcBorders>
          </w:tcPr>
          <w:p>
            <w:r>
              <w:rPr>
                <w:b/>
                <w:sz w:val="20"/>
              </w:rPr>
              <w:t>Référence document</w:t>
            </w:r>
          </w:p>
        </w:tc>
        <w:tc>
          <w:tcPr>
            <w:tcW w:type="dxa" w:w="4986"/>
            <w:tcBorders>
              <w:top w:val="single" w:sz="6" w:color="999999"/>
              <w:left w:val="single" w:sz="6" w:color="999999"/>
              <w:bottom w:val="single" w:sz="6" w:color="999999"/>
              <w:right w:val="single" w:sz="6" w:color="999999"/>
            </w:tcBorders>
          </w:tcPr>
          <w:p>
            <w:r>
              <w:rPr>
                <w:sz w:val="20"/>
              </w:rPr>
              <w:t>POL-SMSI-NET-001</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Version</w:t>
            </w:r>
          </w:p>
        </w:tc>
        <w:tc>
          <w:tcPr>
            <w:tcW w:type="dxa" w:w="4986"/>
            <w:tcBorders>
              <w:top w:val="single" w:sz="6" w:color="999999"/>
              <w:left w:val="single" w:sz="6" w:color="999999"/>
              <w:bottom w:val="single" w:sz="6" w:color="999999"/>
              <w:right w:val="single" w:sz="6" w:color="999999"/>
            </w:tcBorders>
          </w:tcPr>
          <w:p>
            <w:r>
              <w:rPr>
                <w:sz w:val="20"/>
              </w:rPr>
              <w:t>1.0</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Date de publication</w:t>
            </w:r>
          </w:p>
        </w:tc>
        <w:tc>
          <w:tcPr>
            <w:tcW w:type="dxa" w:w="4986"/>
            <w:tcBorders>
              <w:top w:val="single" w:sz="6" w:color="999999"/>
              <w:left w:val="single" w:sz="6" w:color="999999"/>
              <w:bottom w:val="single" w:sz="6" w:color="999999"/>
              <w:right w:val="single" w:sz="6" w:color="999999"/>
            </w:tcBorders>
          </w:tcPr>
          <w:p>
            <w:r>
              <w:rPr>
                <w:sz w:val="20"/>
              </w:rPr>
              <w:t>15/05/2026</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Statut</w:t>
            </w:r>
          </w:p>
        </w:tc>
        <w:tc>
          <w:tcPr>
            <w:tcW w:type="dxa" w:w="4986"/>
            <w:tcBorders>
              <w:top w:val="single" w:sz="6" w:color="999999"/>
              <w:left w:val="single" w:sz="6" w:color="999999"/>
              <w:bottom w:val="single" w:sz="6" w:color="999999"/>
              <w:right w:val="single" w:sz="6" w:color="999999"/>
            </w:tcBorders>
          </w:tcPr>
          <w:p>
            <w:r>
              <w:rPr>
                <w:sz w:val="20"/>
              </w:rPr>
              <w:t>Modèle — à adapter au contexte</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Diffusion</w:t>
            </w:r>
          </w:p>
        </w:tc>
        <w:tc>
          <w:tcPr>
            <w:tcW w:type="dxa" w:w="4986"/>
            <w:tcBorders>
              <w:top w:val="single" w:sz="6" w:color="999999"/>
              <w:left w:val="single" w:sz="6" w:color="999999"/>
              <w:bottom w:val="single" w:sz="6" w:color="999999"/>
              <w:right w:val="single" w:sz="6" w:color="999999"/>
            </w:tcBorders>
          </w:tcPr>
          <w:p>
            <w:r>
              <w:rPr>
                <w:sz w:val="20"/>
              </w:rPr>
              <w:t>Usage interne — Confidentiel C2</w:t>
            </w:r>
          </w:p>
        </w:tc>
      </w:tr>
    </w:tbl>
    <w:p>
      <w:pPr>
        <w:spacing w:before="600"/>
        <w:jc w:val="both"/>
      </w:pPr>
      <w:r>
        <w:rPr>
          <w:i/>
          <w:color w:val="555555"/>
          <w:sz w:val="18"/>
        </w:rPr>
        <w:t>Ce modèle est fourni gratuitement par ayinedjimi-consultants.fr à des fins pédagogiques et de support à la mise en conformité ISO/IEC 27001:2022. Il doit être adapté au contexte, au périmètre et aux exigences spécifiques de l'organisme utilisateur. La responsabilité de la conformité finale incombe à l'utilisateur. Toute reproduction commerciale est interdite.</w:t>
      </w:r>
    </w:p>
    <w:p>
      <w:r>
        <w:br w:type="page"/>
      </w:r>
    </w:p>
    <w:p>
      <w:pPr>
        <w:spacing w:after="240"/>
      </w:pPr>
      <w:r>
        <w:rPr>
          <w:b/>
          <w:color w:val="1F3A5F"/>
          <w:sz w:val="36"/>
        </w:rPr>
        <w:t>Sommaire</w:t>
      </w:r>
    </w:p>
    <w:p>
      <w:pPr>
        <w:ind w:left="0"/>
      </w:pPr>
      <w:r>
        <w:rPr>
          <w:b/>
          <w:color w:val="1F3A5F"/>
          <w:sz w:val="22"/>
        </w:rPr>
        <w:t>1  Objet et périmètre</w:t>
      </w:r>
    </w:p>
    <w:p>
      <w:pPr>
        <w:ind w:left="0"/>
      </w:pPr>
      <w:r>
        <w:rPr>
          <w:b/>
          <w:color w:val="1F3A5F"/>
          <w:sz w:val="22"/>
        </w:rPr>
        <w:t>2  Références normatives</w:t>
      </w:r>
    </w:p>
    <w:p>
      <w:pPr>
        <w:ind w:left="0"/>
      </w:pPr>
      <w:r>
        <w:rPr>
          <w:b/>
          <w:color w:val="1F3A5F"/>
          <w:sz w:val="22"/>
        </w:rPr>
        <w:t>3  Principes directeurs</w:t>
      </w:r>
    </w:p>
    <w:p>
      <w:pPr>
        <w:ind w:left="0"/>
      </w:pPr>
      <w:r>
        <w:rPr>
          <w:b/>
          <w:color w:val="1F3A5F"/>
          <w:sz w:val="22"/>
        </w:rPr>
        <w:t>4  Architecture cible Zero Trust</w:t>
      </w:r>
    </w:p>
    <w:p>
      <w:pPr>
        <w:ind w:left="283"/>
      </w:pPr>
      <w:r>
        <w:rPr>
          <w:sz w:val="22"/>
        </w:rPr>
        <w:t>4.1  Modèle Tier 0 / Tier 1 / Tier 2</w:t>
      </w:r>
    </w:p>
    <w:p>
      <w:pPr>
        <w:ind w:left="283"/>
      </w:pPr>
      <w:r>
        <w:rPr>
          <w:sz w:val="22"/>
        </w:rPr>
        <w:t>4.2  Micro-segmentation</w:t>
      </w:r>
    </w:p>
    <w:p>
      <w:pPr>
        <w:ind w:left="0"/>
      </w:pPr>
      <w:r>
        <w:rPr>
          <w:b/>
          <w:color w:val="1F3A5F"/>
          <w:sz w:val="22"/>
        </w:rPr>
        <w:t>5  Segmentation et zones</w:t>
      </w:r>
    </w:p>
    <w:p>
      <w:pPr>
        <w:ind w:left="283"/>
      </w:pPr>
      <w:r>
        <w:rPr>
          <w:sz w:val="22"/>
        </w:rPr>
        <w:t>5.1  DMZ et exposition externe</w:t>
      </w:r>
    </w:p>
    <w:p>
      <w:pPr>
        <w:ind w:left="283"/>
      </w:pPr>
      <w:r>
        <w:rPr>
          <w:sz w:val="22"/>
        </w:rPr>
        <w:t>5.2  Zones internes et industrielles (OT)</w:t>
      </w:r>
    </w:p>
    <w:p>
      <w:pPr>
        <w:ind w:left="0"/>
      </w:pPr>
      <w:r>
        <w:rPr>
          <w:b/>
          <w:color w:val="1F3A5F"/>
          <w:sz w:val="22"/>
        </w:rPr>
        <w:t>6  Accès distants — VPN et ZTNA</w:t>
      </w:r>
    </w:p>
    <w:p>
      <w:pPr>
        <w:ind w:left="0"/>
      </w:pPr>
      <w:r>
        <w:rPr>
          <w:b/>
          <w:color w:val="1F3A5F"/>
          <w:sz w:val="22"/>
        </w:rPr>
        <w:t>7  Gestion des changements firewall</w:t>
      </w:r>
    </w:p>
    <w:p>
      <w:pPr>
        <w:ind w:left="0"/>
      </w:pPr>
      <w:r>
        <w:rPr>
          <w:b/>
          <w:color w:val="1F3A5F"/>
          <w:sz w:val="22"/>
        </w:rPr>
        <w:t>8  Sécurité des services réseau</w:t>
      </w:r>
    </w:p>
    <w:p>
      <w:pPr>
        <w:ind w:left="0"/>
      </w:pPr>
      <w:r>
        <w:rPr>
          <w:b/>
          <w:color w:val="1F3A5F"/>
          <w:sz w:val="22"/>
        </w:rPr>
        <w:t>9  Surveillance et indicateurs</w:t>
      </w:r>
    </w:p>
    <w:p>
      <w:pPr>
        <w:ind w:left="0"/>
      </w:pPr>
      <w:r>
        <w:rPr>
          <w:b/>
          <w:color w:val="1F3A5F"/>
          <w:sz w:val="22"/>
        </w:rPr>
        <w:t>10  Rôles et responsabilités</w:t>
      </w:r>
    </w:p>
    <w:p>
      <w:pPr>
        <w:ind w:left="0"/>
      </w:pPr>
      <w:r>
        <w:rPr>
          <w:b/>
          <w:color w:val="1F3A5F"/>
          <w:sz w:val="22"/>
        </w:rPr>
        <w:t>11  Revue et amélioration</w:t>
      </w:r>
    </w:p>
    <w:p>
      <w:pPr>
        <w:ind w:left="0"/>
      </w:pPr>
      <w:r>
        <w:rPr>
          <w:b/>
          <w:color w:val="1F3A5F"/>
          <w:sz w:val="22"/>
        </w:rPr>
        <w:t>12  Validation et signatures</w:t>
      </w:r>
    </w:p>
    <w:p>
      <w:r>
        <w:br w:type="page"/>
      </w:r>
    </w:p>
    <w:p>
      <w:pPr>
        <w:keepNext/>
        <w:spacing w:before="360" w:after="160"/>
        <w:pBdr>
          <w:bottom w:val="single" w:sz="6" w:color="C9A961"/>
        </w:pBdr>
      </w:pPr>
      <w:r>
        <w:rPr>
          <w:b/>
          <w:color w:val="1F3A5F"/>
          <w:sz w:val="32"/>
        </w:rPr>
        <w:t>1  Objet et périmètre</w:t>
      </w:r>
    </w:p>
    <w:p>
      <w:pPr>
        <w:jc w:val="both"/>
      </w:pPr>
      <w:r>
        <w:rPr>
          <w:b w:val="0"/>
          <w:i w:val="0"/>
          <w:sz w:val="22"/>
        </w:rPr>
        <w:t>La présente politique définit les principes et exigences de sécurité applicables aux réseaux et services réseau, conformément aux contrôles A.8.20 (Sécurité des réseaux), A.8.21 (Sécurité des services en réseau), A.8.22 (Cloisonnement des réseaux) et A.8.23 (Filtrage Web) de la norme ISO/IEC 27001:2022.</w:t>
      </w:r>
    </w:p>
    <w:p>
      <w:pPr>
        <w:keepNext/>
        <w:spacing w:before="360" w:after="160"/>
        <w:pBdr>
          <w:bottom w:val="single" w:sz="6" w:color="C9A961"/>
        </w:pBdr>
      </w:pPr>
      <w:r>
        <w:rPr>
          <w:b/>
          <w:color w:val="1F3A5F"/>
          <w:sz w:val="32"/>
        </w:rPr>
        <w:t>2  Références normatives</w:t>
      </w:r>
    </w:p>
    <w:p>
      <w:pPr>
        <w:pStyle w:val="ListBullet"/>
        <w:ind w:left="283"/>
      </w:pPr>
      <w:r/>
      <w:r>
        <w:rPr>
          <w:sz w:val="22"/>
        </w:rPr>
        <w:t>ISO/IEC 27001:2022 — Annexe A.8.20, A.8.21, A.8.22, A.8.23</w:t>
      </w:r>
    </w:p>
    <w:p>
      <w:pPr>
        <w:pStyle w:val="ListBullet"/>
        <w:ind w:left="283"/>
      </w:pPr>
      <w:r/>
      <w:r>
        <w:rPr>
          <w:sz w:val="22"/>
        </w:rPr>
        <w:t>NIST SP 800-207 — Zero Trust Architecture</w:t>
      </w:r>
    </w:p>
    <w:p>
      <w:pPr>
        <w:pStyle w:val="ListBullet"/>
        <w:ind w:left="283"/>
      </w:pPr>
      <w:r/>
      <w:r>
        <w:rPr>
          <w:sz w:val="22"/>
        </w:rPr>
        <w:t>ANSSI — Recommandations relatives à l'administration sécurisée des systèmes (PA-022)</w:t>
      </w:r>
    </w:p>
    <w:p>
      <w:pPr>
        <w:pStyle w:val="ListBullet"/>
        <w:ind w:left="283"/>
      </w:pPr>
      <w:r/>
      <w:r>
        <w:rPr>
          <w:sz w:val="22"/>
        </w:rPr>
        <w:t>ANSSI — Recommandations pour la mise en œuvre du modèle ZTA</w:t>
      </w:r>
    </w:p>
    <w:p>
      <w:pPr>
        <w:pStyle w:val="ListBullet"/>
        <w:ind w:left="283"/>
      </w:pPr>
      <w:r/>
      <w:r>
        <w:rPr>
          <w:sz w:val="22"/>
        </w:rPr>
        <w:t>Politique de gestion des accès logiques (réf. POL-SMSI-ACC-001)</w:t>
      </w:r>
    </w:p>
    <w:p>
      <w:pPr>
        <w:keepNext/>
        <w:spacing w:before="360" w:after="160"/>
        <w:pBdr>
          <w:bottom w:val="single" w:sz="6" w:color="C9A961"/>
        </w:pBdr>
      </w:pPr>
      <w:r>
        <w:rPr>
          <w:b/>
          <w:color w:val="1F3A5F"/>
          <w:sz w:val="32"/>
        </w:rPr>
        <w:t>3  Principes directeurs</w:t>
      </w:r>
    </w:p>
    <w:p>
      <w:pPr>
        <w:pStyle w:val="ListBullet"/>
        <w:ind w:left="283"/>
      </w:pPr>
      <w:r/>
      <w:r>
        <w:rPr>
          <w:sz w:val="22"/>
        </w:rPr>
        <w:t>Default deny — tout flux non explicitement autorisé est bloqué</w:t>
      </w:r>
    </w:p>
    <w:p>
      <w:pPr>
        <w:pStyle w:val="ListBullet"/>
        <w:ind w:left="283"/>
      </w:pPr>
      <w:r/>
      <w:r>
        <w:rPr>
          <w:sz w:val="22"/>
        </w:rPr>
        <w:t>Moindre privilège réseau — l'accès est restreint au strict nécessaire</w:t>
      </w:r>
    </w:p>
    <w:p>
      <w:pPr>
        <w:pStyle w:val="ListBullet"/>
        <w:ind w:left="283"/>
      </w:pPr>
      <w:r/>
      <w:r>
        <w:rPr>
          <w:sz w:val="22"/>
        </w:rPr>
        <w:t>Zero Trust — pas de confiance implicite, vérification systématique (identité, posture, contexte)</w:t>
      </w:r>
    </w:p>
    <w:p>
      <w:pPr>
        <w:pStyle w:val="ListBullet"/>
        <w:ind w:left="283"/>
      </w:pPr>
      <w:r/>
      <w:r>
        <w:rPr>
          <w:sz w:val="22"/>
        </w:rPr>
        <w:t>Défense en profondeur — couches successives (périmètre, segmentation, micro-segmentation, host)</w:t>
      </w:r>
    </w:p>
    <w:p>
      <w:pPr>
        <w:pStyle w:val="ListBullet"/>
        <w:ind w:left="283"/>
      </w:pPr>
      <w:r/>
      <w:r>
        <w:rPr>
          <w:sz w:val="22"/>
        </w:rPr>
        <w:t>Visibilité totale — toute communication doit pouvoir être tracée et analysée</w:t>
      </w:r>
    </w:p>
    <w:p>
      <w:pPr>
        <w:pStyle w:val="ListBullet"/>
        <w:ind w:left="283"/>
      </w:pPr>
      <w:r/>
      <w:r>
        <w:rPr>
          <w:sz w:val="22"/>
        </w:rPr>
        <w:t>Chiffrement systématique — TLS 1.3 ou IPsec sur tous les flux contenant des données sensibles</w:t>
      </w:r>
    </w:p>
    <w:p>
      <w:pPr>
        <w:keepNext/>
        <w:spacing w:before="360" w:after="160"/>
        <w:pBdr>
          <w:bottom w:val="single" w:sz="6" w:color="C9A961"/>
        </w:pBdr>
      </w:pPr>
      <w:r>
        <w:rPr>
          <w:b/>
          <w:color w:val="1F3A5F"/>
          <w:sz w:val="32"/>
        </w:rPr>
        <w:t>4  Architecture cible Zero Trust</w:t>
      </w:r>
    </w:p>
    <w:p>
      <w:pPr>
        <w:keepNext/>
        <w:spacing w:before="280" w:after="120"/>
      </w:pPr>
      <w:r>
        <w:rPr>
          <w:b/>
          <w:color w:val="1F3A5F"/>
          <w:sz w:val="26"/>
        </w:rPr>
        <w:t>4.1  Modèle Tier 0 / Tier 1 / Tier 2</w:t>
      </w:r>
    </w:p>
    <w:p>
      <w:pPr>
        <w:jc w:val="both"/>
      </w:pPr>
      <w:r>
        <w:rPr>
          <w:b w:val="0"/>
          <w:i w:val="0"/>
          <w:sz w:val="22"/>
        </w:rPr>
        <w:t>L'organisme adopte le modèle de tiering ANSSI/Microsoft pour cloisonner les zones d'administration et de production :</w:t>
      </w:r>
    </w:p>
    <w:tbl>
      <w:tblPr>
        <w:tblW w:type="auto" w:w="0"/>
        <w:jc w:val="center"/>
        <w:tblLook w:firstColumn="1" w:firstRow="1" w:lastColumn="0" w:lastRow="0" w:noHBand="0" w:noVBand="1" w:val="04A0"/>
      </w:tblPr>
      <w:tblGrid>
        <w:gridCol w:w="2493"/>
        <w:gridCol w:w="2493"/>
        <w:gridCol w:w="2493"/>
        <w:gridCol w:w="2493"/>
      </w:tblGrid>
      <w:tr>
        <w:tc>
          <w:tcPr>
            <w:tcW w:type="dxa" w:w="850"/>
            <w:shd w:fill="1F3A5F" w:val="clear"/>
            <w:tcBorders>
              <w:top w:val="single" w:sz="8" w:color="1F3A5F"/>
              <w:left w:val="single" w:sz="8" w:color="1F3A5F"/>
              <w:bottom w:val="single" w:sz="8" w:color="1F3A5F"/>
              <w:right w:val="single" w:sz="8" w:color="1F3A5F"/>
            </w:tcBorders>
          </w:tcPr>
          <w:p>
            <w:pPr>
              <w:jc w:val="center"/>
            </w:pPr>
            <w:r/>
            <w:r>
              <w:rPr>
                <w:b/>
                <w:color w:val="FFFFFF"/>
                <w:sz w:val="20"/>
              </w:rPr>
              <w:t>Tier</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Définition</w:t>
            </w:r>
          </w:p>
        </w:tc>
        <w:tc>
          <w:tcPr>
            <w:tcW w:type="dxa" w:w="2551"/>
            <w:shd w:fill="1F3A5F" w:val="clear"/>
            <w:tcBorders>
              <w:top w:val="single" w:sz="8" w:color="1F3A5F"/>
              <w:left w:val="single" w:sz="8" w:color="1F3A5F"/>
              <w:bottom w:val="single" w:sz="8" w:color="1F3A5F"/>
              <w:right w:val="single" w:sz="8" w:color="1F3A5F"/>
            </w:tcBorders>
          </w:tcPr>
          <w:p>
            <w:pPr>
              <w:jc w:val="center"/>
            </w:pPr>
            <w:r/>
            <w:r>
              <w:rPr>
                <w:b/>
                <w:color w:val="FFFFFF"/>
                <w:sz w:val="20"/>
              </w:rPr>
              <w:t>Exemples</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Niveau d'exigence</w:t>
            </w:r>
          </w:p>
        </w:tc>
      </w:tr>
      <w:tr>
        <w:tc>
          <w:tcPr>
            <w:tcW w:type="dxa" w:w="850"/>
            <w:tcBorders>
              <w:top w:val="single" w:sz="6" w:color="999999"/>
              <w:left w:val="single" w:sz="6" w:color="999999"/>
              <w:bottom w:val="single" w:sz="6" w:color="999999"/>
              <w:right w:val="single" w:sz="6" w:color="999999"/>
            </w:tcBorders>
          </w:tcPr>
          <w:p>
            <w:r/>
            <w:r>
              <w:rPr>
                <w:sz w:val="20"/>
              </w:rPr>
              <w:t>Tier 0</w:t>
            </w:r>
          </w:p>
        </w:tc>
        <w:tc>
          <w:tcPr>
            <w:tcW w:type="dxa" w:w="2268"/>
            <w:tcBorders>
              <w:top w:val="single" w:sz="6" w:color="999999"/>
              <w:left w:val="single" w:sz="6" w:color="999999"/>
              <w:bottom w:val="single" w:sz="6" w:color="999999"/>
              <w:right w:val="single" w:sz="6" w:color="999999"/>
            </w:tcBorders>
          </w:tcPr>
          <w:p>
            <w:r/>
            <w:r>
              <w:rPr>
                <w:sz w:val="20"/>
              </w:rPr>
              <w:t>Contrôle d'identité et de la sécurité — compromission = Game Over</w:t>
            </w:r>
          </w:p>
        </w:tc>
        <w:tc>
          <w:tcPr>
            <w:tcW w:type="dxa" w:w="2551"/>
            <w:tcBorders>
              <w:top w:val="single" w:sz="6" w:color="999999"/>
              <w:left w:val="single" w:sz="6" w:color="999999"/>
              <w:bottom w:val="single" w:sz="6" w:color="999999"/>
              <w:right w:val="single" w:sz="6" w:color="999999"/>
            </w:tcBorders>
          </w:tcPr>
          <w:p>
            <w:r/>
            <w:r>
              <w:rPr>
                <w:sz w:val="20"/>
              </w:rPr>
              <w:t>Contrôleurs de domaine, ADCS, PAM, HSM, console EDR, SIEM admin</w:t>
            </w:r>
          </w:p>
        </w:tc>
        <w:tc>
          <w:tcPr>
            <w:tcW w:type="dxa" w:w="2835"/>
            <w:tcBorders>
              <w:top w:val="single" w:sz="6" w:color="999999"/>
              <w:left w:val="single" w:sz="6" w:color="999999"/>
              <w:bottom w:val="single" w:sz="6" w:color="999999"/>
              <w:right w:val="single" w:sz="6" w:color="999999"/>
            </w:tcBorders>
          </w:tcPr>
          <w:p>
            <w:r/>
            <w:r>
              <w:rPr>
                <w:sz w:val="20"/>
              </w:rPr>
              <w:t>Maximal — isolation forte, MFA FIDO2, PAW dédiés</w:t>
            </w:r>
          </w:p>
        </w:tc>
      </w:tr>
      <w:tr>
        <w:tc>
          <w:tcPr>
            <w:tcW w:type="dxa" w:w="850"/>
            <w:shd w:fill="F8F6F0" w:val="clear"/>
            <w:tcBorders>
              <w:top w:val="single" w:sz="6" w:color="999999"/>
              <w:left w:val="single" w:sz="6" w:color="999999"/>
              <w:bottom w:val="single" w:sz="6" w:color="999999"/>
              <w:right w:val="single" w:sz="6" w:color="999999"/>
            </w:tcBorders>
          </w:tcPr>
          <w:p>
            <w:r/>
            <w:r>
              <w:rPr>
                <w:sz w:val="20"/>
              </w:rPr>
              <w:t>Tier 1</w:t>
            </w:r>
          </w:p>
        </w:tc>
        <w:tc>
          <w:tcPr>
            <w:tcW w:type="dxa" w:w="2268"/>
            <w:shd w:fill="F8F6F0" w:val="clear"/>
            <w:tcBorders>
              <w:top w:val="single" w:sz="6" w:color="999999"/>
              <w:left w:val="single" w:sz="6" w:color="999999"/>
              <w:bottom w:val="single" w:sz="6" w:color="999999"/>
              <w:right w:val="single" w:sz="6" w:color="999999"/>
            </w:tcBorders>
          </w:tcPr>
          <w:p>
            <w:r/>
            <w:r>
              <w:rPr>
                <w:sz w:val="20"/>
              </w:rPr>
              <w:t>Serveurs métier critiques</w:t>
            </w:r>
          </w:p>
        </w:tc>
        <w:tc>
          <w:tcPr>
            <w:tcW w:type="dxa" w:w="2551"/>
            <w:shd w:fill="F8F6F0" w:val="clear"/>
            <w:tcBorders>
              <w:top w:val="single" w:sz="6" w:color="999999"/>
              <w:left w:val="single" w:sz="6" w:color="999999"/>
              <w:bottom w:val="single" w:sz="6" w:color="999999"/>
              <w:right w:val="single" w:sz="6" w:color="999999"/>
            </w:tcBorders>
          </w:tcPr>
          <w:p>
            <w:r/>
            <w:r>
              <w:rPr>
                <w:sz w:val="20"/>
              </w:rPr>
              <w:t>Serveurs applicatifs production, BDD, hyperviseurs, fileservers</w:t>
            </w:r>
          </w:p>
        </w:tc>
        <w:tc>
          <w:tcPr>
            <w:tcW w:type="dxa" w:w="2835"/>
            <w:shd w:fill="F8F6F0" w:val="clear"/>
            <w:tcBorders>
              <w:top w:val="single" w:sz="6" w:color="999999"/>
              <w:left w:val="single" w:sz="6" w:color="999999"/>
              <w:bottom w:val="single" w:sz="6" w:color="999999"/>
              <w:right w:val="single" w:sz="6" w:color="999999"/>
            </w:tcBorders>
          </w:tcPr>
          <w:p>
            <w:r/>
            <w:r>
              <w:rPr>
                <w:sz w:val="20"/>
              </w:rPr>
              <w:t>Élevé — JIT, PAM, MFA, segmentation</w:t>
            </w:r>
          </w:p>
        </w:tc>
      </w:tr>
      <w:tr>
        <w:tc>
          <w:tcPr>
            <w:tcW w:type="dxa" w:w="850"/>
            <w:tcBorders>
              <w:top w:val="single" w:sz="6" w:color="999999"/>
              <w:left w:val="single" w:sz="6" w:color="999999"/>
              <w:bottom w:val="single" w:sz="6" w:color="999999"/>
              <w:right w:val="single" w:sz="6" w:color="999999"/>
            </w:tcBorders>
          </w:tcPr>
          <w:p>
            <w:r/>
            <w:r>
              <w:rPr>
                <w:sz w:val="20"/>
              </w:rPr>
              <w:t>Tier 2</w:t>
            </w:r>
          </w:p>
        </w:tc>
        <w:tc>
          <w:tcPr>
            <w:tcW w:type="dxa" w:w="2268"/>
            <w:tcBorders>
              <w:top w:val="single" w:sz="6" w:color="999999"/>
              <w:left w:val="single" w:sz="6" w:color="999999"/>
              <w:bottom w:val="single" w:sz="6" w:color="999999"/>
              <w:right w:val="single" w:sz="6" w:color="999999"/>
            </w:tcBorders>
          </w:tcPr>
          <w:p>
            <w:r/>
            <w:r>
              <w:rPr>
                <w:sz w:val="20"/>
              </w:rPr>
              <w:t>Postes de travail et services standards</w:t>
            </w:r>
          </w:p>
        </w:tc>
        <w:tc>
          <w:tcPr>
            <w:tcW w:type="dxa" w:w="2551"/>
            <w:tcBorders>
              <w:top w:val="single" w:sz="6" w:color="999999"/>
              <w:left w:val="single" w:sz="6" w:color="999999"/>
              <w:bottom w:val="single" w:sz="6" w:color="999999"/>
              <w:right w:val="single" w:sz="6" w:color="999999"/>
            </w:tcBorders>
          </w:tcPr>
          <w:p>
            <w:r/>
            <w:r>
              <w:rPr>
                <w:sz w:val="20"/>
              </w:rPr>
              <w:t>Postes utilisateurs, imprimantes, IoT bureautique</w:t>
            </w:r>
          </w:p>
        </w:tc>
        <w:tc>
          <w:tcPr>
            <w:tcW w:type="dxa" w:w="2835"/>
            <w:tcBorders>
              <w:top w:val="single" w:sz="6" w:color="999999"/>
              <w:left w:val="single" w:sz="6" w:color="999999"/>
              <w:bottom w:val="single" w:sz="6" w:color="999999"/>
              <w:right w:val="single" w:sz="6" w:color="999999"/>
            </w:tcBorders>
          </w:tcPr>
          <w:p>
            <w:r/>
            <w:r>
              <w:rPr>
                <w:sz w:val="20"/>
              </w:rPr>
              <w:t>Standard — MFA, EDR, durcissement</w:t>
            </w:r>
          </w:p>
        </w:tc>
      </w:tr>
    </w:tbl>
    <w:tbl>
      <w:tblPr>
        <w:tblW w:type="auto" w:w="0"/>
        <w:tblLook w:firstColumn="1" w:firstRow="1" w:lastColumn="0" w:lastRow="0" w:noHBand="0" w:noVBand="1" w:val="04A0"/>
      </w:tblPr>
      <w:tblGrid>
        <w:gridCol w:w="9972"/>
      </w:tblGrid>
      <w:tr>
        <w:tc>
          <w:tcPr>
            <w:tcW w:type="dxa" w:w="9972"/>
            <w:shd w:fill="F4F1EA" w:val="clear"/>
            <w:tcBorders>
              <w:top w:val="single" w:sz="6" w:color="C9A961"/>
              <w:left w:val="single" w:sz="6" w:color="C9A961"/>
              <w:bottom w:val="single" w:sz="6" w:color="C9A961"/>
              <w:right w:val="single" w:sz="6" w:color="C9A961"/>
            </w:tcBorders>
          </w:tcPr>
          <w:p>
            <w:r/>
            <w:r>
              <w:rPr>
                <w:b/>
                <w:color w:val="C9A961"/>
                <w:sz w:val="20"/>
              </w:rPr>
              <w:t xml:space="preserve">Règle fondamentale — </w:t>
            </w:r>
            <w:r>
              <w:rPr>
                <w:i/>
                <w:color w:val="222222"/>
                <w:sz w:val="20"/>
              </w:rPr>
              <w:t>Un compte ou poste d'un tier inférieur ne doit JAMAIS pouvoir administrer ou s'authentifier sur un tier supérieur. Les administrateurs Tier 0 utilisent obligatoirement des PAW (Privileged Access Workstations) dédiées.</w:t>
            </w:r>
          </w:p>
        </w:tc>
      </w:tr>
    </w:tbl>
    <w:p>
      <w:pPr>
        <w:keepNext/>
        <w:spacing w:before="280" w:after="120"/>
      </w:pPr>
      <w:r>
        <w:rPr>
          <w:b/>
          <w:color w:val="1F3A5F"/>
          <w:sz w:val="26"/>
        </w:rPr>
        <w:t>4.2  Micro-segmentation</w:t>
      </w:r>
    </w:p>
    <w:p>
      <w:pPr>
        <w:pStyle w:val="ListBullet"/>
        <w:ind w:left="283"/>
      </w:pPr>
      <w:r/>
      <w:r>
        <w:rPr>
          <w:sz w:val="22"/>
        </w:rPr>
        <w:t>Application des principes ZTA via solution de micro-segmentation (Illumio, Akamai Guardicore, NSX, Cilium)</w:t>
      </w:r>
    </w:p>
    <w:p>
      <w:pPr>
        <w:pStyle w:val="ListBullet"/>
        <w:ind w:left="283"/>
      </w:pPr>
      <w:r/>
      <w:r>
        <w:rPr>
          <w:sz w:val="22"/>
        </w:rPr>
        <w:t>Politiques de flux pilotées par l'identité du workload (label-based) et non par l'IP</w:t>
      </w:r>
    </w:p>
    <w:p>
      <w:pPr>
        <w:pStyle w:val="ListBullet"/>
        <w:ind w:left="283"/>
      </w:pPr>
      <w:r/>
      <w:r>
        <w:rPr>
          <w:sz w:val="22"/>
        </w:rPr>
        <w:t>Approche progressive : visibility → policy → enforcement par groupe d'applications</w:t>
      </w:r>
    </w:p>
    <w:p>
      <w:pPr>
        <w:pStyle w:val="ListBullet"/>
        <w:ind w:left="283"/>
      </w:pPr>
      <w:r/>
      <w:r>
        <w:rPr>
          <w:sz w:val="22"/>
        </w:rPr>
        <w:t>Couverture cible Tier 0 et Tier 1 à 100%, Tier 2 sur services critiques</w:t>
      </w:r>
    </w:p>
    <w:p>
      <w:pPr>
        <w:keepNext/>
        <w:spacing w:before="360" w:after="160"/>
        <w:pBdr>
          <w:bottom w:val="single" w:sz="6" w:color="C9A961"/>
        </w:pBdr>
      </w:pPr>
      <w:r>
        <w:rPr>
          <w:b/>
          <w:color w:val="1F3A5F"/>
          <w:sz w:val="32"/>
        </w:rPr>
        <w:t>5  Segmentation et zones</w:t>
      </w:r>
    </w:p>
    <w:p>
      <w:pPr>
        <w:keepNext/>
        <w:spacing w:before="280" w:after="120"/>
      </w:pPr>
      <w:r>
        <w:rPr>
          <w:b/>
          <w:color w:val="1F3A5F"/>
          <w:sz w:val="26"/>
        </w:rPr>
        <w:t>5.1  DMZ et exposition externe</w:t>
      </w:r>
    </w:p>
    <w:tbl>
      <w:tblPr>
        <w:tblW w:type="auto" w:w="0"/>
        <w:jc w:val="center"/>
        <w:tblLook w:firstColumn="1" w:firstRow="1" w:lastColumn="0" w:lastRow="0" w:noHBand="0" w:noVBand="1" w:val="04A0"/>
      </w:tblPr>
      <w:tblGrid>
        <w:gridCol w:w="3324"/>
        <w:gridCol w:w="3324"/>
        <w:gridCol w:w="3324"/>
      </w:tblGrid>
      <w:tr>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Zone</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Rôle</w:t>
            </w:r>
          </w:p>
        </w:tc>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Exemples</w:t>
            </w:r>
          </w:p>
        </w:tc>
      </w:tr>
      <w:tr>
        <w:tc>
          <w:tcPr>
            <w:tcW w:type="dxa" w:w="2268"/>
            <w:tcBorders>
              <w:top w:val="single" w:sz="6" w:color="999999"/>
              <w:left w:val="single" w:sz="6" w:color="999999"/>
              <w:bottom w:val="single" w:sz="6" w:color="999999"/>
              <w:right w:val="single" w:sz="6" w:color="999999"/>
            </w:tcBorders>
          </w:tcPr>
          <w:p>
            <w:r/>
            <w:r>
              <w:rPr>
                <w:sz w:val="20"/>
              </w:rPr>
              <w:t>DMZ publique entrante</w:t>
            </w:r>
          </w:p>
        </w:tc>
        <w:tc>
          <w:tcPr>
            <w:tcW w:type="dxa" w:w="2835"/>
            <w:tcBorders>
              <w:top w:val="single" w:sz="6" w:color="999999"/>
              <w:left w:val="single" w:sz="6" w:color="999999"/>
              <w:bottom w:val="single" w:sz="6" w:color="999999"/>
              <w:right w:val="single" w:sz="6" w:color="999999"/>
            </w:tcBorders>
          </w:tcPr>
          <w:p>
            <w:r/>
            <w:r>
              <w:rPr>
                <w:sz w:val="20"/>
              </w:rPr>
              <w:t>Reverse proxies, WAF, services exposés Internet</w:t>
            </w:r>
          </w:p>
        </w:tc>
        <w:tc>
          <w:tcPr>
            <w:tcW w:type="dxa" w:w="3402"/>
            <w:tcBorders>
              <w:top w:val="single" w:sz="6" w:color="999999"/>
              <w:left w:val="single" w:sz="6" w:color="999999"/>
              <w:bottom w:val="single" w:sz="6" w:color="999999"/>
              <w:right w:val="single" w:sz="6" w:color="999999"/>
            </w:tcBorders>
          </w:tcPr>
          <w:p>
            <w:r/>
            <w:r>
              <w:rPr>
                <w:sz w:val="20"/>
              </w:rPr>
              <w:t>Apache HTTPD, NGINX, Cloudflare</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DMZ sortante</w:t>
            </w:r>
          </w:p>
        </w:tc>
        <w:tc>
          <w:tcPr>
            <w:tcW w:type="dxa" w:w="2835"/>
            <w:shd w:fill="F8F6F0" w:val="clear"/>
            <w:tcBorders>
              <w:top w:val="single" w:sz="6" w:color="999999"/>
              <w:left w:val="single" w:sz="6" w:color="999999"/>
              <w:bottom w:val="single" w:sz="6" w:color="999999"/>
              <w:right w:val="single" w:sz="6" w:color="999999"/>
            </w:tcBorders>
          </w:tcPr>
          <w:p>
            <w:r/>
            <w:r>
              <w:rPr>
                <w:sz w:val="20"/>
              </w:rPr>
              <w:t>Proxies sortants, breakouts</w:t>
            </w:r>
          </w:p>
        </w:tc>
        <w:tc>
          <w:tcPr>
            <w:tcW w:type="dxa" w:w="3402"/>
            <w:shd w:fill="F8F6F0" w:val="clear"/>
            <w:tcBorders>
              <w:top w:val="single" w:sz="6" w:color="999999"/>
              <w:left w:val="single" w:sz="6" w:color="999999"/>
              <w:bottom w:val="single" w:sz="6" w:color="999999"/>
              <w:right w:val="single" w:sz="6" w:color="999999"/>
            </w:tcBorders>
          </w:tcPr>
          <w:p>
            <w:r/>
            <w:r>
              <w:rPr>
                <w:sz w:val="20"/>
              </w:rPr>
              <w:t>Squid, Zscaler, Netskope</w:t>
            </w:r>
          </w:p>
        </w:tc>
      </w:tr>
      <w:tr>
        <w:tc>
          <w:tcPr>
            <w:tcW w:type="dxa" w:w="2268"/>
            <w:tcBorders>
              <w:top w:val="single" w:sz="6" w:color="999999"/>
              <w:left w:val="single" w:sz="6" w:color="999999"/>
              <w:bottom w:val="single" w:sz="6" w:color="999999"/>
              <w:right w:val="single" w:sz="6" w:color="999999"/>
            </w:tcBorders>
          </w:tcPr>
          <w:p>
            <w:r/>
            <w:r>
              <w:rPr>
                <w:sz w:val="20"/>
              </w:rPr>
              <w:t>DMZ partenaires</w:t>
            </w:r>
          </w:p>
        </w:tc>
        <w:tc>
          <w:tcPr>
            <w:tcW w:type="dxa" w:w="2835"/>
            <w:tcBorders>
              <w:top w:val="single" w:sz="6" w:color="999999"/>
              <w:left w:val="single" w:sz="6" w:color="999999"/>
              <w:bottom w:val="single" w:sz="6" w:color="999999"/>
              <w:right w:val="single" w:sz="6" w:color="999999"/>
            </w:tcBorders>
          </w:tcPr>
          <w:p>
            <w:r/>
            <w:r>
              <w:rPr>
                <w:sz w:val="20"/>
              </w:rPr>
              <w:t>Échanges B2B avec partenaires</w:t>
            </w:r>
          </w:p>
        </w:tc>
        <w:tc>
          <w:tcPr>
            <w:tcW w:type="dxa" w:w="3402"/>
            <w:tcBorders>
              <w:top w:val="single" w:sz="6" w:color="999999"/>
              <w:left w:val="single" w:sz="6" w:color="999999"/>
              <w:bottom w:val="single" w:sz="6" w:color="999999"/>
              <w:right w:val="single" w:sz="6" w:color="999999"/>
            </w:tcBorders>
          </w:tcPr>
          <w:p>
            <w:r/>
            <w:r>
              <w:rPr>
                <w:sz w:val="20"/>
              </w:rPr>
              <w:t>EDI, MFT, SFTP, API gateway</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Zone interne back-end</w:t>
            </w:r>
          </w:p>
        </w:tc>
        <w:tc>
          <w:tcPr>
            <w:tcW w:type="dxa" w:w="2835"/>
            <w:shd w:fill="F8F6F0" w:val="clear"/>
            <w:tcBorders>
              <w:top w:val="single" w:sz="6" w:color="999999"/>
              <w:left w:val="single" w:sz="6" w:color="999999"/>
              <w:bottom w:val="single" w:sz="6" w:color="999999"/>
              <w:right w:val="single" w:sz="6" w:color="999999"/>
            </w:tcBorders>
          </w:tcPr>
          <w:p>
            <w:r/>
            <w:r>
              <w:rPr>
                <w:sz w:val="20"/>
              </w:rPr>
              <w:t>Services applicatifs métier</w:t>
            </w:r>
          </w:p>
        </w:tc>
        <w:tc>
          <w:tcPr>
            <w:tcW w:type="dxa" w:w="3402"/>
            <w:shd w:fill="F8F6F0" w:val="clear"/>
            <w:tcBorders>
              <w:top w:val="single" w:sz="6" w:color="999999"/>
              <w:left w:val="single" w:sz="6" w:color="999999"/>
              <w:bottom w:val="single" w:sz="6" w:color="999999"/>
              <w:right w:val="single" w:sz="6" w:color="999999"/>
            </w:tcBorders>
          </w:tcPr>
          <w:p>
            <w:r/>
            <w:r>
              <w:rPr>
                <w:sz w:val="20"/>
              </w:rPr>
              <w:t>App servers, middleware</w:t>
            </w:r>
          </w:p>
        </w:tc>
      </w:tr>
      <w:tr>
        <w:tc>
          <w:tcPr>
            <w:tcW w:type="dxa" w:w="2268"/>
            <w:tcBorders>
              <w:top w:val="single" w:sz="6" w:color="999999"/>
              <w:left w:val="single" w:sz="6" w:color="999999"/>
              <w:bottom w:val="single" w:sz="6" w:color="999999"/>
              <w:right w:val="single" w:sz="6" w:color="999999"/>
            </w:tcBorders>
          </w:tcPr>
          <w:p>
            <w:r/>
            <w:r>
              <w:rPr>
                <w:sz w:val="20"/>
              </w:rPr>
              <w:t>Zone données</w:t>
            </w:r>
          </w:p>
        </w:tc>
        <w:tc>
          <w:tcPr>
            <w:tcW w:type="dxa" w:w="2835"/>
            <w:tcBorders>
              <w:top w:val="single" w:sz="6" w:color="999999"/>
              <w:left w:val="single" w:sz="6" w:color="999999"/>
              <w:bottom w:val="single" w:sz="6" w:color="999999"/>
              <w:right w:val="single" w:sz="6" w:color="999999"/>
            </w:tcBorders>
          </w:tcPr>
          <w:p>
            <w:r/>
            <w:r>
              <w:rPr>
                <w:sz w:val="20"/>
              </w:rPr>
              <w:t>Bases de données, fileservers</w:t>
            </w:r>
          </w:p>
        </w:tc>
        <w:tc>
          <w:tcPr>
            <w:tcW w:type="dxa" w:w="3402"/>
            <w:tcBorders>
              <w:top w:val="single" w:sz="6" w:color="999999"/>
              <w:left w:val="single" w:sz="6" w:color="999999"/>
              <w:bottom w:val="single" w:sz="6" w:color="999999"/>
              <w:right w:val="single" w:sz="6" w:color="999999"/>
            </w:tcBorders>
          </w:tcPr>
          <w:p>
            <w:r/>
            <w:r>
              <w:rPr>
                <w:sz w:val="20"/>
              </w:rPr>
              <w:t>SQL, NAS</w:t>
            </w:r>
          </w:p>
        </w:tc>
      </w:tr>
    </w:tbl>
    <w:p>
      <w:pPr>
        <w:keepNext/>
        <w:spacing w:before="280" w:after="120"/>
      </w:pPr>
      <w:r>
        <w:rPr>
          <w:b/>
          <w:color w:val="1F3A5F"/>
          <w:sz w:val="26"/>
        </w:rPr>
        <w:t>5.2  Zones internes et industrielles (OT)</w:t>
      </w:r>
    </w:p>
    <w:p>
      <w:pPr>
        <w:pStyle w:val="ListBullet"/>
        <w:ind w:left="283"/>
      </w:pPr>
      <w:r/>
      <w:r>
        <w:rPr>
          <w:sz w:val="22"/>
        </w:rPr>
        <w:t>Modèle Purdue pour OT — niveaux 0 (capteurs/actionneurs) à 5 (entreprise)</w:t>
      </w:r>
    </w:p>
    <w:p>
      <w:pPr>
        <w:pStyle w:val="ListBullet"/>
        <w:ind w:left="283"/>
      </w:pPr>
      <w:r/>
      <w:r>
        <w:rPr>
          <w:sz w:val="22"/>
        </w:rPr>
        <w:t>Conformité IEC 62443 sur sites industriels et installations critiques</w:t>
      </w:r>
    </w:p>
    <w:p>
      <w:pPr>
        <w:pStyle w:val="ListBullet"/>
        <w:ind w:left="283"/>
      </w:pPr>
      <w:r/>
      <w:r>
        <w:rPr>
          <w:sz w:val="22"/>
        </w:rPr>
        <w:t>Diodes de données unidirectionnelles pour exports OT → IT</w:t>
      </w:r>
    </w:p>
    <w:p>
      <w:pPr>
        <w:pStyle w:val="ListBullet"/>
        <w:ind w:left="283"/>
      </w:pPr>
      <w:r/>
      <w:r>
        <w:rPr>
          <w:sz w:val="22"/>
        </w:rPr>
        <w:t>Zones IoT bureautiques isolées (caméras, imprimantes, VOIP) — VLAN dédié, NAC 802.1X</w:t>
      </w:r>
    </w:p>
    <w:p>
      <w:pPr>
        <w:pStyle w:val="ListBullet"/>
        <w:ind w:left="283"/>
      </w:pPr>
      <w:r/>
      <w:r>
        <w:rPr>
          <w:sz w:val="22"/>
        </w:rPr>
        <w:t>Zones BYOD / invités complètement isolées du réseau corporate</w:t>
      </w:r>
    </w:p>
    <w:p>
      <w:pPr>
        <w:keepNext/>
        <w:spacing w:before="360" w:after="160"/>
        <w:pBdr>
          <w:bottom w:val="single" w:sz="6" w:color="C9A961"/>
        </w:pBdr>
      </w:pPr>
      <w:r>
        <w:rPr>
          <w:b/>
          <w:color w:val="1F3A5F"/>
          <w:sz w:val="32"/>
        </w:rPr>
        <w:t>6  Accès distants — VPN et ZTNA</w:t>
      </w:r>
    </w:p>
    <w:p>
      <w:pPr>
        <w:pStyle w:val="ListBullet"/>
        <w:ind w:left="283"/>
      </w:pPr>
      <w:r/>
      <w:r>
        <w:rPr>
          <w:sz w:val="22"/>
        </w:rPr>
        <w:t>Solution cible : ZTNA (Zscaler ZPA, Netskope Private Access, Cloudflare Access)</w:t>
      </w:r>
    </w:p>
    <w:p>
      <w:pPr>
        <w:pStyle w:val="ListBullet"/>
        <w:ind w:left="283"/>
      </w:pPr>
      <w:r/>
      <w:r>
        <w:rPr>
          <w:sz w:val="22"/>
        </w:rPr>
        <w:t>Authentification : SSO + MFA FIDO2 obligatoire ; certificat machine</w:t>
      </w:r>
    </w:p>
    <w:p>
      <w:pPr>
        <w:pStyle w:val="ListBullet"/>
        <w:ind w:left="283"/>
      </w:pPr>
      <w:r/>
      <w:r>
        <w:rPr>
          <w:sz w:val="22"/>
        </w:rPr>
        <w:t>Vérification de posture : antivirus actif, OS à jour, chiffrement disque</w:t>
      </w:r>
    </w:p>
    <w:p>
      <w:pPr>
        <w:pStyle w:val="ListBullet"/>
        <w:ind w:left="283"/>
      </w:pPr>
      <w:r/>
      <w:r>
        <w:rPr>
          <w:sz w:val="22"/>
        </w:rPr>
        <w:t>VPN historique IPsec / SSL VPN : transition progressive vers ZTNA, désactivation cible 2027</w:t>
      </w:r>
    </w:p>
    <w:p>
      <w:pPr>
        <w:pStyle w:val="ListBullet"/>
        <w:ind w:left="283"/>
      </w:pPr>
      <w:r/>
      <w:r>
        <w:rPr>
          <w:sz w:val="22"/>
        </w:rPr>
        <w:t>Accès admin : exclusivement via PAM (bastion) — pas de VPN admin direct</w:t>
      </w:r>
    </w:p>
    <w:p>
      <w:pPr>
        <w:pStyle w:val="ListBullet"/>
        <w:ind w:left="283"/>
      </w:pPr>
      <w:r/>
      <w:r>
        <w:rPr>
          <w:sz w:val="22"/>
        </w:rPr>
        <w:t>Logs centralisés au SIEM, alertes sur connexions anormales (géo, horaires, devices)</w:t>
      </w:r>
    </w:p>
    <w:p>
      <w:pPr>
        <w:keepNext/>
        <w:spacing w:before="360" w:after="160"/>
        <w:pBdr>
          <w:bottom w:val="single" w:sz="6" w:color="C9A961"/>
        </w:pBdr>
      </w:pPr>
      <w:r>
        <w:rPr>
          <w:b/>
          <w:color w:val="1F3A5F"/>
          <w:sz w:val="32"/>
        </w:rPr>
        <w:t>7  Gestion des changements firewall</w:t>
      </w:r>
    </w:p>
    <w:p>
      <w:pPr>
        <w:jc w:val="both"/>
      </w:pPr>
      <w:r>
        <w:rPr>
          <w:b w:val="0"/>
          <w:i w:val="0"/>
          <w:sz w:val="22"/>
        </w:rPr>
        <w:t>Tout changement de règle firewall suit le processus formel de gestion des changements (cf. PROC-SMSI-CHG-001) :</w:t>
      </w:r>
    </w:p>
    <w:p>
      <w:pPr>
        <w:pStyle w:val="ListNumber"/>
      </w:pPr>
      <w:r>
        <w:rPr>
          <w:sz w:val="22"/>
        </w:rPr>
        <w:t>Demande via ITSM avec justification métier et durée souhaitée</w:t>
      </w:r>
    </w:p>
    <w:p>
      <w:pPr>
        <w:pStyle w:val="ListNumber"/>
      </w:pPr>
      <w:r>
        <w:rPr>
          <w:sz w:val="22"/>
        </w:rPr>
        <w:t>Évaluation par l'équipe Sécurité Réseau (impact, alternatives, risques)</w:t>
      </w:r>
    </w:p>
    <w:p>
      <w:pPr>
        <w:pStyle w:val="ListNumber"/>
      </w:pPr>
      <w:r>
        <w:rPr>
          <w:sz w:val="22"/>
        </w:rPr>
        <w:t>Validation RSSI pour règles permettant l'inbound sensible ou les flux Tier 0</w:t>
      </w:r>
    </w:p>
    <w:p>
      <w:pPr>
        <w:pStyle w:val="ListNumber"/>
      </w:pPr>
      <w:r>
        <w:rPr>
          <w:sz w:val="22"/>
        </w:rPr>
        <w:t>Tests en pré-production si possible</w:t>
      </w:r>
    </w:p>
    <w:p>
      <w:pPr>
        <w:pStyle w:val="ListNumber"/>
      </w:pPr>
      <w:r>
        <w:rPr>
          <w:sz w:val="22"/>
        </w:rPr>
        <w:t>Implémentation lors d'une fenêtre planifiée, peer review (4-eyes principle)</w:t>
      </w:r>
    </w:p>
    <w:p>
      <w:pPr>
        <w:pStyle w:val="ListNumber"/>
      </w:pPr>
      <w:r>
        <w:rPr>
          <w:sz w:val="22"/>
        </w:rPr>
        <w:t>Documentation : ID changement, demandeur, motif, durée, valideur</w:t>
      </w:r>
    </w:p>
    <w:p>
      <w:pPr>
        <w:pStyle w:val="ListNumber"/>
      </w:pPr>
      <w:r>
        <w:rPr>
          <w:sz w:val="22"/>
        </w:rPr>
        <w:t>Revue annuelle de toutes les règles : suppression des règles obsolètes, temporaires expirées</w:t>
      </w:r>
    </w:p>
    <w:tbl>
      <w:tblPr>
        <w:tblW w:type="auto" w:w="0"/>
        <w:tblLook w:firstColumn="1" w:firstRow="1" w:lastColumn="0" w:lastRow="0" w:noHBand="0" w:noVBand="1" w:val="04A0"/>
      </w:tblPr>
      <w:tblGrid>
        <w:gridCol w:w="9972"/>
      </w:tblGrid>
      <w:tr>
        <w:tc>
          <w:tcPr>
            <w:tcW w:type="dxa" w:w="9972"/>
            <w:shd w:fill="F4F1EA" w:val="clear"/>
            <w:tcBorders>
              <w:top w:val="single" w:sz="6" w:color="C9A961"/>
              <w:left w:val="single" w:sz="6" w:color="C9A961"/>
              <w:bottom w:val="single" w:sz="6" w:color="C9A961"/>
              <w:right w:val="single" w:sz="6" w:color="C9A961"/>
            </w:tcBorders>
          </w:tcPr>
          <w:p>
            <w:r/>
            <w:r>
              <w:rPr>
                <w:b/>
                <w:color w:val="C9A961"/>
                <w:sz w:val="20"/>
              </w:rPr>
              <w:t xml:space="preserve">Règles temporaires — </w:t>
            </w:r>
            <w:r>
              <w:rPr>
                <w:i/>
                <w:color w:val="222222"/>
                <w:sz w:val="20"/>
              </w:rPr>
              <w:t>Toute règle créée pour une durée limitée (test, projet) doit comporter une date d'expiration dans son nom ou ses tags. Une revue mensuelle automatisée identifie les règles temporaires expirées.</w:t>
            </w:r>
          </w:p>
        </w:tc>
      </w:tr>
    </w:tbl>
    <w:p>
      <w:pPr>
        <w:keepNext/>
        <w:spacing w:before="360" w:after="160"/>
        <w:pBdr>
          <w:bottom w:val="single" w:sz="6" w:color="C9A961"/>
        </w:pBdr>
      </w:pPr>
      <w:r>
        <w:rPr>
          <w:b/>
          <w:color w:val="1F3A5F"/>
          <w:sz w:val="32"/>
        </w:rPr>
        <w:t>8  Sécurité des services réseau</w:t>
      </w:r>
    </w:p>
    <w:p>
      <w:pPr>
        <w:pStyle w:val="ListBullet"/>
        <w:ind w:left="283"/>
      </w:pPr>
      <w:r/>
      <w:r>
        <w:rPr>
          <w:sz w:val="22"/>
        </w:rPr>
        <w:t>DNS : DNSSEC validé en sortie, DoH/DoT vers résolveurs de confiance, logging au SIEM</w:t>
      </w:r>
    </w:p>
    <w:p>
      <w:pPr>
        <w:pStyle w:val="ListBullet"/>
        <w:ind w:left="283"/>
      </w:pPr>
      <w:r/>
      <w:r>
        <w:rPr>
          <w:sz w:val="22"/>
        </w:rPr>
        <w:t>DHCP : option 82 activée, NAC en complément, snooping sur switches</w:t>
      </w:r>
    </w:p>
    <w:p>
      <w:pPr>
        <w:pStyle w:val="ListBullet"/>
        <w:ind w:left="283"/>
      </w:pPr>
      <w:r/>
      <w:r>
        <w:rPr>
          <w:sz w:val="22"/>
        </w:rPr>
        <w:t>NTP : stratum interne authentifié, blocage NTP sortant non autorisé</w:t>
      </w:r>
    </w:p>
    <w:p>
      <w:pPr>
        <w:pStyle w:val="ListBullet"/>
        <w:ind w:left="283"/>
      </w:pPr>
      <w:r/>
      <w:r>
        <w:rPr>
          <w:sz w:val="22"/>
        </w:rPr>
        <w:t>SMTP : SPF, DKIM, DMARC reject obligatoires sur les domaines envoyés</w:t>
      </w:r>
    </w:p>
    <w:p>
      <w:pPr>
        <w:pStyle w:val="ListBullet"/>
        <w:ind w:left="283"/>
      </w:pPr>
      <w:r/>
      <w:r>
        <w:rPr>
          <w:sz w:val="22"/>
        </w:rPr>
        <w:t>Wi-Fi : WPA3-Enterprise, EAP-TLS avec certificats utilisateur, WIPS</w:t>
      </w:r>
    </w:p>
    <w:p>
      <w:pPr>
        <w:pStyle w:val="ListBullet"/>
        <w:ind w:left="283"/>
      </w:pPr>
      <w:r/>
      <w:r>
        <w:rPr>
          <w:sz w:val="22"/>
        </w:rPr>
        <w:t>BGP : RPKI activé, filtres maximums préfixes, MD5 ou TCP-AO</w:t>
      </w:r>
    </w:p>
    <w:p>
      <w:pPr>
        <w:pStyle w:val="ListBullet"/>
        <w:ind w:left="283"/>
      </w:pPr>
      <w:r/>
      <w:r>
        <w:rPr>
          <w:sz w:val="22"/>
        </w:rPr>
        <w:t>TLS : versions 1.2 / 1.3 uniquement, ciphers PFS, HSTS preload pour services web</w:t>
      </w:r>
    </w:p>
    <w:p>
      <w:pPr>
        <w:keepNext/>
        <w:spacing w:before="360" w:after="160"/>
        <w:pBdr>
          <w:bottom w:val="single" w:sz="6" w:color="C9A961"/>
        </w:pBdr>
      </w:pPr>
      <w:r>
        <w:rPr>
          <w:b/>
          <w:color w:val="1F3A5F"/>
          <w:sz w:val="32"/>
        </w:rPr>
        <w:t>9  Surveillance et indicateurs</w:t>
      </w:r>
    </w:p>
    <w:tbl>
      <w:tblPr>
        <w:tblW w:type="auto" w:w="0"/>
        <w:jc w:val="center"/>
        <w:tblLook w:firstColumn="1" w:firstRow="1" w:lastColumn="0" w:lastRow="0" w:noHBand="0" w:noVBand="1" w:val="04A0"/>
      </w:tblPr>
      <w:tblGrid>
        <w:gridCol w:w="3324"/>
        <w:gridCol w:w="3324"/>
        <w:gridCol w:w="3324"/>
      </w:tblGrid>
      <w:tr>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Indicateur</w:t>
            </w:r>
          </w:p>
        </w:tc>
        <w:tc>
          <w:tcPr>
            <w:tcW w:type="dxa" w:w="3969"/>
            <w:shd w:fill="1F3A5F" w:val="clear"/>
            <w:tcBorders>
              <w:top w:val="single" w:sz="8" w:color="1F3A5F"/>
              <w:left w:val="single" w:sz="8" w:color="1F3A5F"/>
              <w:bottom w:val="single" w:sz="8" w:color="1F3A5F"/>
              <w:right w:val="single" w:sz="8" w:color="1F3A5F"/>
            </w:tcBorders>
          </w:tcPr>
          <w:p>
            <w:pPr>
              <w:jc w:val="center"/>
            </w:pPr>
            <w:r/>
            <w:r>
              <w:rPr>
                <w:b/>
                <w:color w:val="FFFFFF"/>
                <w:sz w:val="20"/>
              </w:rPr>
              <w:t>Définition</w:t>
            </w:r>
          </w:p>
        </w:tc>
        <w:tc>
          <w:tcPr>
            <w:tcW w:type="dxa" w:w="1701"/>
            <w:shd w:fill="1F3A5F" w:val="clear"/>
            <w:tcBorders>
              <w:top w:val="single" w:sz="8" w:color="1F3A5F"/>
              <w:left w:val="single" w:sz="8" w:color="1F3A5F"/>
              <w:bottom w:val="single" w:sz="8" w:color="1F3A5F"/>
              <w:right w:val="single" w:sz="8" w:color="1F3A5F"/>
            </w:tcBorders>
          </w:tcPr>
          <w:p>
            <w:pPr>
              <w:jc w:val="center"/>
            </w:pPr>
            <w:r/>
            <w:r>
              <w:rPr>
                <w:b/>
                <w:color w:val="FFFFFF"/>
                <w:sz w:val="20"/>
              </w:rPr>
              <w:t>Cible</w:t>
            </w:r>
          </w:p>
        </w:tc>
      </w:tr>
      <w:tr>
        <w:tc>
          <w:tcPr>
            <w:tcW w:type="dxa" w:w="2835"/>
            <w:tcBorders>
              <w:top w:val="single" w:sz="6" w:color="999999"/>
              <w:left w:val="single" w:sz="6" w:color="999999"/>
              <w:bottom w:val="single" w:sz="6" w:color="999999"/>
              <w:right w:val="single" w:sz="6" w:color="999999"/>
            </w:tcBorders>
          </w:tcPr>
          <w:p>
            <w:r/>
            <w:r>
              <w:rPr>
                <w:sz w:val="20"/>
              </w:rPr>
              <w:t>Conformité segmentation</w:t>
            </w:r>
          </w:p>
        </w:tc>
        <w:tc>
          <w:tcPr>
            <w:tcW w:type="dxa" w:w="3969"/>
            <w:tcBorders>
              <w:top w:val="single" w:sz="6" w:color="999999"/>
              <w:left w:val="single" w:sz="6" w:color="999999"/>
              <w:bottom w:val="single" w:sz="6" w:color="999999"/>
              <w:right w:val="single" w:sz="6" w:color="999999"/>
            </w:tcBorders>
          </w:tcPr>
          <w:p>
            <w:r/>
            <w:r>
              <w:rPr>
                <w:sz w:val="20"/>
              </w:rPr>
              <w:t>Workloads conformes / Total</w:t>
            </w:r>
          </w:p>
        </w:tc>
        <w:tc>
          <w:tcPr>
            <w:tcW w:type="dxa" w:w="1701"/>
            <w:tcBorders>
              <w:top w:val="single" w:sz="6" w:color="999999"/>
              <w:left w:val="single" w:sz="6" w:color="999999"/>
              <w:bottom w:val="single" w:sz="6" w:color="999999"/>
              <w:right w:val="single" w:sz="6" w:color="999999"/>
            </w:tcBorders>
          </w:tcPr>
          <w:p>
            <w:r/>
            <w:r>
              <w:rPr>
                <w:sz w:val="20"/>
              </w:rPr>
              <w:t>&gt;= 95%</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Couverture ZTNA</w:t>
            </w:r>
          </w:p>
        </w:tc>
        <w:tc>
          <w:tcPr>
            <w:tcW w:type="dxa" w:w="3969"/>
            <w:shd w:fill="F8F6F0" w:val="clear"/>
            <w:tcBorders>
              <w:top w:val="single" w:sz="6" w:color="999999"/>
              <w:left w:val="single" w:sz="6" w:color="999999"/>
              <w:bottom w:val="single" w:sz="6" w:color="999999"/>
              <w:right w:val="single" w:sz="6" w:color="999999"/>
            </w:tcBorders>
          </w:tcPr>
          <w:p>
            <w:r/>
            <w:r>
              <w:rPr>
                <w:sz w:val="20"/>
              </w:rPr>
              <w:t>Utilisateurs sur ZTNA / Total</w:t>
            </w:r>
          </w:p>
        </w:tc>
        <w:tc>
          <w:tcPr>
            <w:tcW w:type="dxa" w:w="1701"/>
            <w:shd w:fill="F8F6F0" w:val="clear"/>
            <w:tcBorders>
              <w:top w:val="single" w:sz="6" w:color="999999"/>
              <w:left w:val="single" w:sz="6" w:color="999999"/>
              <w:bottom w:val="single" w:sz="6" w:color="999999"/>
              <w:right w:val="single" w:sz="6" w:color="999999"/>
            </w:tcBorders>
          </w:tcPr>
          <w:p>
            <w:r/>
            <w:r>
              <w:rPr>
                <w:sz w:val="20"/>
              </w:rPr>
              <w:t>&gt;= 80% (transition)</w:t>
            </w:r>
          </w:p>
        </w:tc>
      </w:tr>
      <w:tr>
        <w:tc>
          <w:tcPr>
            <w:tcW w:type="dxa" w:w="2835"/>
            <w:tcBorders>
              <w:top w:val="single" w:sz="6" w:color="999999"/>
              <w:left w:val="single" w:sz="6" w:color="999999"/>
              <w:bottom w:val="single" w:sz="6" w:color="999999"/>
              <w:right w:val="single" w:sz="6" w:color="999999"/>
            </w:tcBorders>
          </w:tcPr>
          <w:p>
            <w:r/>
            <w:r>
              <w:rPr>
                <w:sz w:val="20"/>
              </w:rPr>
              <w:t>Règles firewall obsolètes</w:t>
            </w:r>
          </w:p>
        </w:tc>
        <w:tc>
          <w:tcPr>
            <w:tcW w:type="dxa" w:w="3969"/>
            <w:tcBorders>
              <w:top w:val="single" w:sz="6" w:color="999999"/>
              <w:left w:val="single" w:sz="6" w:color="999999"/>
              <w:bottom w:val="single" w:sz="6" w:color="999999"/>
              <w:right w:val="single" w:sz="6" w:color="999999"/>
            </w:tcBorders>
          </w:tcPr>
          <w:p>
            <w:r/>
            <w:r>
              <w:rPr>
                <w:sz w:val="20"/>
              </w:rPr>
              <w:t>Règles temporaires expirées actives</w:t>
            </w:r>
          </w:p>
        </w:tc>
        <w:tc>
          <w:tcPr>
            <w:tcW w:type="dxa" w:w="1701"/>
            <w:tcBorders>
              <w:top w:val="single" w:sz="6" w:color="999999"/>
              <w:left w:val="single" w:sz="6" w:color="999999"/>
              <w:bottom w:val="single" w:sz="6" w:color="999999"/>
              <w:right w:val="single" w:sz="6" w:color="999999"/>
            </w:tcBorders>
          </w:tcPr>
          <w:p>
            <w:r/>
            <w:r>
              <w:rPr>
                <w:sz w:val="20"/>
              </w:rPr>
              <w:t>0</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Changements firewall sous SLA</w:t>
            </w:r>
          </w:p>
        </w:tc>
        <w:tc>
          <w:tcPr>
            <w:tcW w:type="dxa" w:w="3969"/>
            <w:shd w:fill="F8F6F0" w:val="clear"/>
            <w:tcBorders>
              <w:top w:val="single" w:sz="6" w:color="999999"/>
              <w:left w:val="single" w:sz="6" w:color="999999"/>
              <w:bottom w:val="single" w:sz="6" w:color="999999"/>
              <w:right w:val="single" w:sz="6" w:color="999999"/>
            </w:tcBorders>
          </w:tcPr>
          <w:p>
            <w:r/>
            <w:r>
              <w:rPr>
                <w:sz w:val="20"/>
              </w:rPr>
              <w:t>Changements traités en délai / Total</w:t>
            </w:r>
          </w:p>
        </w:tc>
        <w:tc>
          <w:tcPr>
            <w:tcW w:type="dxa" w:w="1701"/>
            <w:shd w:fill="F8F6F0" w:val="clear"/>
            <w:tcBorders>
              <w:top w:val="single" w:sz="6" w:color="999999"/>
              <w:left w:val="single" w:sz="6" w:color="999999"/>
              <w:bottom w:val="single" w:sz="6" w:color="999999"/>
              <w:right w:val="single" w:sz="6" w:color="999999"/>
            </w:tcBorders>
          </w:tcPr>
          <w:p>
            <w:r/>
            <w:r>
              <w:rPr>
                <w:sz w:val="20"/>
              </w:rPr>
              <w:t>&gt;= 95%</w:t>
            </w:r>
          </w:p>
        </w:tc>
      </w:tr>
      <w:tr>
        <w:tc>
          <w:tcPr>
            <w:tcW w:type="dxa" w:w="2835"/>
            <w:tcBorders>
              <w:top w:val="single" w:sz="6" w:color="999999"/>
              <w:left w:val="single" w:sz="6" w:color="999999"/>
              <w:bottom w:val="single" w:sz="6" w:color="999999"/>
              <w:right w:val="single" w:sz="6" w:color="999999"/>
            </w:tcBorders>
          </w:tcPr>
          <w:p>
            <w:r/>
            <w:r>
              <w:rPr>
                <w:sz w:val="20"/>
              </w:rPr>
              <w:t>MFA sur accès distants</w:t>
            </w:r>
          </w:p>
        </w:tc>
        <w:tc>
          <w:tcPr>
            <w:tcW w:type="dxa" w:w="3969"/>
            <w:tcBorders>
              <w:top w:val="single" w:sz="6" w:color="999999"/>
              <w:left w:val="single" w:sz="6" w:color="999999"/>
              <w:bottom w:val="single" w:sz="6" w:color="999999"/>
              <w:right w:val="single" w:sz="6" w:color="999999"/>
            </w:tcBorders>
          </w:tcPr>
          <w:p>
            <w:r/>
            <w:r>
              <w:rPr>
                <w:sz w:val="20"/>
              </w:rPr>
              <w:t>Sessions MFA / Total sessions distantes</w:t>
            </w:r>
          </w:p>
        </w:tc>
        <w:tc>
          <w:tcPr>
            <w:tcW w:type="dxa" w:w="1701"/>
            <w:tcBorders>
              <w:top w:val="single" w:sz="6" w:color="999999"/>
              <w:left w:val="single" w:sz="6" w:color="999999"/>
              <w:bottom w:val="single" w:sz="6" w:color="999999"/>
              <w:right w:val="single" w:sz="6" w:color="999999"/>
            </w:tcBorders>
          </w:tcPr>
          <w:p>
            <w:r/>
            <w:r>
              <w:rPr>
                <w:sz w:val="20"/>
              </w:rPr>
              <w:t>100%</w:t>
            </w:r>
          </w:p>
        </w:tc>
      </w:tr>
      <w:tr>
        <w:tc>
          <w:tcPr>
            <w:tcW w:type="dxa" w:w="2835"/>
            <w:shd w:fill="F8F6F0" w:val="clear"/>
            <w:tcBorders>
              <w:top w:val="single" w:sz="6" w:color="999999"/>
              <w:left w:val="single" w:sz="6" w:color="999999"/>
              <w:bottom w:val="single" w:sz="6" w:color="999999"/>
              <w:right w:val="single" w:sz="6" w:color="999999"/>
            </w:tcBorders>
          </w:tcPr>
          <w:p>
            <w:r/>
            <w:r>
              <w:rPr>
                <w:sz w:val="20"/>
              </w:rPr>
              <w:t>Délai MTTD scan externe</w:t>
            </w:r>
          </w:p>
        </w:tc>
        <w:tc>
          <w:tcPr>
            <w:tcW w:type="dxa" w:w="3969"/>
            <w:shd w:fill="F8F6F0" w:val="clear"/>
            <w:tcBorders>
              <w:top w:val="single" w:sz="6" w:color="999999"/>
              <w:left w:val="single" w:sz="6" w:color="999999"/>
              <w:bottom w:val="single" w:sz="6" w:color="999999"/>
              <w:right w:val="single" w:sz="6" w:color="999999"/>
            </w:tcBorders>
          </w:tcPr>
          <w:p>
            <w:r/>
            <w:r>
              <w:rPr>
                <w:sz w:val="20"/>
              </w:rPr>
              <w:t>Temps détection scan suspect</w:t>
            </w:r>
          </w:p>
        </w:tc>
        <w:tc>
          <w:tcPr>
            <w:tcW w:type="dxa" w:w="1701"/>
            <w:shd w:fill="F8F6F0" w:val="clear"/>
            <w:tcBorders>
              <w:top w:val="single" w:sz="6" w:color="999999"/>
              <w:left w:val="single" w:sz="6" w:color="999999"/>
              <w:bottom w:val="single" w:sz="6" w:color="999999"/>
              <w:right w:val="single" w:sz="6" w:color="999999"/>
            </w:tcBorders>
          </w:tcPr>
          <w:p>
            <w:r/>
            <w:r>
              <w:rPr>
                <w:sz w:val="20"/>
              </w:rPr>
              <w:t>&lt; 15 min</w:t>
            </w:r>
          </w:p>
        </w:tc>
      </w:tr>
    </w:tbl>
    <w:p>
      <w:pPr>
        <w:keepNext/>
        <w:spacing w:before="360" w:after="160"/>
        <w:pBdr>
          <w:bottom w:val="single" w:sz="6" w:color="C9A961"/>
        </w:pBdr>
      </w:pPr>
      <w:r>
        <w:rPr>
          <w:b/>
          <w:color w:val="1F3A5F"/>
          <w:sz w:val="32"/>
        </w:rPr>
        <w:t>10  Rôles et responsabilités</w:t>
      </w:r>
    </w:p>
    <w:p>
      <w:pPr>
        <w:pStyle w:val="ListBullet"/>
        <w:ind w:left="283"/>
      </w:pPr>
      <w:r/>
      <w:r>
        <w:rPr>
          <w:sz w:val="22"/>
        </w:rPr>
        <w:t>RSSI : valide la politique, arbitre les exceptions, supervise les indicateurs</w:t>
      </w:r>
    </w:p>
    <w:p>
      <w:pPr>
        <w:pStyle w:val="ListBullet"/>
        <w:ind w:left="283"/>
      </w:pPr>
      <w:r/>
      <w:r>
        <w:rPr>
          <w:sz w:val="22"/>
        </w:rPr>
        <w:t>Architecte sécurité : conçoit la cible, valide les évolutions architecturales</w:t>
      </w:r>
    </w:p>
    <w:p>
      <w:pPr>
        <w:pStyle w:val="ListBullet"/>
        <w:ind w:left="283"/>
      </w:pPr>
      <w:r/>
      <w:r>
        <w:rPr>
          <w:sz w:val="22"/>
        </w:rPr>
        <w:t>Équipe Sécurité Réseau : exploite, configure et maintient l'infrastructure</w:t>
      </w:r>
    </w:p>
    <w:p>
      <w:pPr>
        <w:pStyle w:val="ListBullet"/>
        <w:ind w:left="283"/>
      </w:pPr>
      <w:r/>
      <w:r>
        <w:rPr>
          <w:sz w:val="22"/>
        </w:rPr>
        <w:t>SOC : supervise les flux, traite les alertes</w:t>
      </w:r>
    </w:p>
    <w:p>
      <w:pPr>
        <w:pStyle w:val="ListBullet"/>
        <w:ind w:left="283"/>
      </w:pPr>
      <w:r/>
      <w:r>
        <w:rPr>
          <w:sz w:val="22"/>
        </w:rPr>
        <w:t>Équipes applicatives : déclarent les flux métier, valident les segmentations applicatives</w:t>
      </w:r>
    </w:p>
    <w:p>
      <w:pPr>
        <w:keepNext/>
        <w:spacing w:before="360" w:after="160"/>
        <w:pBdr>
          <w:bottom w:val="single" w:sz="6" w:color="C9A961"/>
        </w:pBdr>
      </w:pPr>
      <w:r>
        <w:rPr>
          <w:b/>
          <w:color w:val="1F3A5F"/>
          <w:sz w:val="32"/>
        </w:rPr>
        <w:t>11  Revue et amélioration</w:t>
      </w:r>
    </w:p>
    <w:p>
      <w:pPr>
        <w:pStyle w:val="ListBullet"/>
        <w:ind w:left="283"/>
      </w:pPr>
      <w:r/>
      <w:r>
        <w:rPr>
          <w:sz w:val="22"/>
        </w:rPr>
        <w:t>Revue annuelle de la politique en revue de direction</w:t>
      </w:r>
    </w:p>
    <w:p>
      <w:pPr>
        <w:pStyle w:val="ListBullet"/>
        <w:ind w:left="283"/>
      </w:pPr>
      <w:r/>
      <w:r>
        <w:rPr>
          <w:sz w:val="22"/>
        </w:rPr>
        <w:t>Audit annuel des règles firewall et de segmentation</w:t>
      </w:r>
    </w:p>
    <w:p>
      <w:pPr>
        <w:pStyle w:val="ListBullet"/>
        <w:ind w:left="283"/>
      </w:pPr>
      <w:r/>
      <w:r>
        <w:rPr>
          <w:sz w:val="22"/>
        </w:rPr>
        <w:t>Pentest externe annuel sur services exposés</w:t>
      </w:r>
    </w:p>
    <w:p>
      <w:pPr>
        <w:pStyle w:val="ListBullet"/>
        <w:ind w:left="283"/>
      </w:pPr>
      <w:r/>
      <w:r>
        <w:rPr>
          <w:sz w:val="22"/>
        </w:rPr>
        <w:t>Test purple team annuel sur scénarios de mouvement latéral</w:t>
      </w:r>
    </w:p>
    <w:p>
      <w:pPr>
        <w:keepNext/>
        <w:spacing w:before="360" w:after="160"/>
        <w:pBdr>
          <w:bottom w:val="single" w:sz="6" w:color="C9A961"/>
        </w:pBdr>
      </w:pPr>
      <w:r>
        <w:rPr>
          <w:b/>
          <w:color w:val="1F3A5F"/>
          <w:sz w:val="32"/>
        </w:rPr>
        <w:t>12  Validation et signatures</w:t>
      </w:r>
    </w:p>
    <w:p>
      <w:pPr>
        <w:keepNext/>
        <w:spacing w:before="280" w:after="120"/>
      </w:pPr>
      <w:r>
        <w:rPr>
          <w:b/>
          <w:color w:val="1F3A5F"/>
          <w:sz w:val="26"/>
        </w:rPr>
        <w:t>—  Signatures et approbation</w:t>
      </w:r>
    </w:p>
    <w:tbl>
      <w:tblPr>
        <w:tblW w:type="auto" w:w="0"/>
        <w:jc w:val="center"/>
        <w:tblLook w:firstColumn="1" w:firstRow="1" w:lastColumn="0" w:lastRow="0" w:noHBand="0" w:noVBand="1" w:val="04A0"/>
      </w:tblPr>
      <w:tblGrid>
        <w:gridCol w:w="3324"/>
        <w:gridCol w:w="3324"/>
        <w:gridCol w:w="3324"/>
      </w:tblGrid>
      <w:tr>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Rédigé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Vérifié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Approuvé par</w:t>
            </w:r>
          </w:p>
        </w:tc>
      </w:tr>
      <w:tr>
        <w:tc>
          <w:tcPr>
            <w:tcW w:type="dxa" w:w="3324"/>
            <w:tcBorders>
              <w:top w:val="single" w:sz="6" w:color="999999"/>
              <w:left w:val="single" w:sz="6" w:color="999999"/>
              <w:bottom w:val="single" w:sz="6" w:color="999999"/>
              <w:right w:val="single" w:sz="6" w:color="999999"/>
            </w:tcBorders>
          </w:tcPr>
          <w:p>
            <w:r/>
            <w:r>
              <w:rPr>
                <w:sz w:val="20"/>
              </w:rPr>
              <w:t>RSSI / Pilote SMSI</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Comité sécurité</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Direction générale</w:t>
              <w:br/>
              <w:t>Nom : ____________________</w:t>
              <w:br/>
              <w:t>Date : ____________________</w:t>
              <w:br/>
              <w:t>Signature :</w:t>
            </w:r>
          </w:p>
        </w:tc>
      </w:tr>
    </w:tbl>
    <w:sectPr w:rsidR="00FC693F" w:rsidRPr="0006063C" w:rsidSect="00034616">
      <w:headerReference w:type="default" r:id="rId9"/>
      <w:footerReference w:type="default" r:id="rId10"/>
      <w:pgSz w:w="12240" w:h="15840"/>
      <w:pgMar w:top="1247"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t xml:space="preserve">Politique de sécurité réseau — ISO/IEC 27001:2022 — A.8.20 / A.8.22  |  Page </w:t>
    </w:r>
    <w:r>
      <w:fldChar w:fldCharType="begin"/>
      <w:instrText>PAGE</w:instrText>
      <w:fldChar w:fldCharType="end"/>
    </w:r>
    <w:r>
      <w:rPr>
        <w:color w:val="555555"/>
        <w:sz w:val="18"/>
      </w:rPr>
      <w:t xml:space="preserve"> / </w:t>
    </w:r>
    <w: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b/>
        <w:color w:val="1F3A5F"/>
        <w:sz w:val="18"/>
      </w:rPr>
      <w:t>ayinedjimi-consultants.fr</w:t>
    </w:r>
    <w:r>
      <w:rPr>
        <w:i/>
        <w:color w:val="555555"/>
        <w:sz w:val="18"/>
      </w:rPr>
      <w:t xml:space="preserve">  |  ISO/IEC 27001:2022 — Template Gratuit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