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0"/>
        <w:jc w:val="center"/>
      </w:pPr>
      <w:r>
        <w:rPr>
          <w:b/>
          <w:color w:val="1F4E79"/>
          <w:sz w:val="22"/>
        </w:rPr>
        <w:t>ISO/IEC 27001:2022 — TEMPLATE GRATUIT</w:t>
      </w:r>
    </w:p>
    <w:p>
      <w:pPr>
        <w:spacing w:before="400"/>
        <w:jc w:val="center"/>
      </w:pPr>
      <w:r>
        <w:rPr>
          <w:b/>
          <w:color w:val="0B2545"/>
          <w:sz w:val="52"/>
        </w:rPr>
        <w:t>Politique de gestion des mots de passe</w:t>
      </w:r>
    </w:p>
    <w:p>
      <w:pPr>
        <w:jc w:val="center"/>
      </w:pPr>
      <w:r>
        <w:rPr>
          <w:i/>
          <w:color w:val="595959"/>
          <w:sz w:val="26"/>
        </w:rPr>
        <w:t>Conforme ISO/IEC 27001:2022 (A.5.17 / A.8.5), NIST SP 800-63B, recommandations ANSSI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Référence</w:t>
            </w:r>
          </w:p>
        </w:tc>
        <w:tc>
          <w:tcPr>
            <w:tcW w:type="dxa" w:w="3969"/>
          </w:tcPr>
          <w:p>
            <w:r>
              <w:t>TPL-ISO27001-XXXX-v1.0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3969"/>
          </w:tcPr>
          <w:p>
            <w:r>
              <w:t>1.0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Date d'émission</w:t>
            </w:r>
          </w:p>
        </w:tc>
        <w:tc>
          <w:tcPr>
            <w:tcW w:type="dxa" w:w="3969"/>
          </w:tcPr>
          <w:p>
            <w:r>
              <w:t>—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Approuvé par</w:t>
            </w:r>
          </w:p>
        </w:tc>
        <w:tc>
          <w:tcPr>
            <w:tcW w:type="dxa" w:w="3969"/>
          </w:tcPr>
          <w:p>
            <w:r>
              <w:t>Direction Générale / RSSI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Classification</w:t>
            </w:r>
          </w:p>
        </w:tc>
        <w:tc>
          <w:tcPr>
            <w:tcW w:type="dxa" w:w="3969"/>
          </w:tcPr>
          <w:p>
            <w:r>
              <w:t>Interne</w:t>
            </w:r>
          </w:p>
        </w:tc>
      </w:tr>
    </w:tbl>
    <w:p>
      <w:r>
        <w:br w:type="page"/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Sommaire</w:t>
      </w:r>
    </w:p>
    <w:p>
      <w:pPr>
        <w:spacing w:after="60"/>
      </w:pPr>
      <w:r>
        <w:rPr>
          <w:sz w:val="22"/>
        </w:rPr>
        <w:t>1. Objet et portée</w:t>
      </w:r>
    </w:p>
    <w:p>
      <w:pPr>
        <w:spacing w:after="60"/>
      </w:pPr>
      <w:r>
        <w:rPr>
          <w:sz w:val="22"/>
        </w:rPr>
        <w:t>2. Référentiels appliqués</w:t>
      </w:r>
    </w:p>
    <w:p>
      <w:pPr>
        <w:spacing w:after="60"/>
      </w:pPr>
      <w:r>
        <w:rPr>
          <w:sz w:val="22"/>
        </w:rPr>
        <w:t>3. Exigences applicables aux utilisateurs</w:t>
      </w:r>
    </w:p>
    <w:p>
      <w:pPr>
        <w:spacing w:after="60"/>
      </w:pPr>
      <w:r>
        <w:rPr>
          <w:sz w:val="22"/>
        </w:rPr>
        <w:t>4. Exigences applicables aux comptes à privilèges</w:t>
      </w:r>
    </w:p>
    <w:p>
      <w:pPr>
        <w:spacing w:after="60"/>
      </w:pPr>
      <w:r>
        <w:rPr>
          <w:sz w:val="22"/>
        </w:rPr>
        <w:t>5. Exigences applicables aux comptes techniques</w:t>
      </w:r>
    </w:p>
    <w:p>
      <w:pPr>
        <w:spacing w:after="60"/>
      </w:pPr>
      <w:r>
        <w:rPr>
          <w:sz w:val="22"/>
        </w:rPr>
        <w:t>6. Stockage et gestionnaires de mots de passe</w:t>
      </w:r>
    </w:p>
    <w:p>
      <w:pPr>
        <w:spacing w:after="60"/>
      </w:pPr>
      <w:r>
        <w:rPr>
          <w:sz w:val="22"/>
        </w:rPr>
        <w:t>7. Authentification multifacteur</w:t>
      </w:r>
    </w:p>
    <w:p>
      <w:pPr>
        <w:spacing w:after="60"/>
      </w:pPr>
      <w:r>
        <w:rPr>
          <w:sz w:val="22"/>
        </w:rPr>
        <w:t>8. Compromission et rotation</w:t>
      </w:r>
    </w:p>
    <w:p>
      <w:pPr>
        <w:spacing w:after="60"/>
      </w:pPr>
      <w:r>
        <w:rPr>
          <w:sz w:val="22"/>
        </w:rPr>
        <w:t>9. Contrôle de conformité</w:t>
      </w:r>
    </w:p>
    <w:p>
      <w:r>
        <w:br w:type="page"/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1. Objet et portée</w:t>
      </w:r>
    </w:p>
    <w:p>
      <w:pPr>
        <w:spacing w:line="312" w:lineRule="auto"/>
        <w:jc w:val="both"/>
      </w:pPr>
      <w:r>
        <w:t>La présente politique définit les règles applicables à la création, à l'utilisation, au stockage et au renouvellement des mots de passe et secrets d'authentification au sein du système d'information.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2. Référentiels appliqués</w:t>
      </w:r>
    </w:p>
    <w:p>
      <w:pPr>
        <w:pStyle w:val="ListBullet"/>
        <w:spacing w:after="40"/>
      </w:pPr>
      <w:r>
        <w:t>ISO/IEC 27001:2022 — Contrôles A.5.17 « Informations d'authentification » et A.8.5 « Authentification sécurisée ».</w:t>
      </w:r>
    </w:p>
    <w:p>
      <w:pPr>
        <w:pStyle w:val="ListBullet"/>
        <w:spacing w:after="40"/>
      </w:pPr>
      <w:r>
        <w:t>NIST SP 800-63B « Digital Identity Guidelines » (révision 4).</w:t>
      </w:r>
    </w:p>
    <w:p>
      <w:pPr>
        <w:pStyle w:val="ListBullet"/>
        <w:spacing w:after="40"/>
      </w:pPr>
      <w:r>
        <w:t>ANSSI — Guide « Recommandations relatives à l'authentification multifacteur et aux mots de passe » (v2.0, octobre 2021).</w:t>
      </w:r>
    </w:p>
    <w:p>
      <w:pPr>
        <w:pStyle w:val="ListBullet"/>
        <w:spacing w:after="40"/>
      </w:pPr>
      <w:r>
        <w:t>CNIL — Délibération n° 2022-100 du 21 juillet 2022.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3. Exigences applicables aux utilisateurs</w:t>
      </w:r>
    </w:p>
    <w:p>
      <w:pPr>
        <w:spacing w:before="240" w:after="80"/>
      </w:pPr>
      <w:r>
        <w:rPr>
          <w:b/>
          <w:color w:val="1F4E79"/>
          <w:sz w:val="26"/>
        </w:rPr>
        <w:t>3.1 Longueur et composition</w:t>
      </w:r>
    </w:p>
    <w:p>
      <w:pPr>
        <w:pStyle w:val="ListBullet"/>
        <w:spacing w:after="40"/>
      </w:pPr>
      <w:r>
        <w:t>Longueur minimale : 14 caractères pour les comptes standards.</w:t>
      </w:r>
    </w:p>
    <w:p>
      <w:pPr>
        <w:pStyle w:val="ListBullet"/>
        <w:spacing w:after="40"/>
      </w:pPr>
      <w:r>
        <w:t>Aucune obligation imposée de classes de caractères (NIST SP 800-63B §5.1.1.2).</w:t>
      </w:r>
    </w:p>
    <w:p>
      <w:pPr>
        <w:pStyle w:val="ListBullet"/>
        <w:spacing w:after="40"/>
      </w:pPr>
      <w:r>
        <w:t>Tout type de caractère ASCII et Unicode autorisé, y compris les espaces.</w:t>
      </w:r>
    </w:p>
    <w:p>
      <w:pPr>
        <w:pStyle w:val="ListBullet"/>
        <w:spacing w:after="40"/>
      </w:pPr>
      <w:r>
        <w:t>Vérification systématique contre une liste de mots de passe compromis (HaveIBeenPwned, RockYou, etc.).</w:t>
      </w:r>
    </w:p>
    <w:p>
      <w:pPr>
        <w:spacing w:before="240" w:after="80"/>
      </w:pPr>
      <w:r>
        <w:rPr>
          <w:b/>
          <w:color w:val="1F4E79"/>
          <w:sz w:val="26"/>
        </w:rPr>
        <w:t>3.2 Rotation</w:t>
      </w:r>
    </w:p>
    <w:p>
      <w:pPr>
        <w:spacing w:line="312" w:lineRule="auto"/>
        <w:jc w:val="both"/>
      </w:pPr>
      <w:r>
        <w:t>Aucune rotation périodique imposée tant qu'aucune compromission n'est suspectée (conformément à NIST SP 800-63B et à la CNIL). Le changement est obligatoire si :</w:t>
      </w:r>
    </w:p>
    <w:p>
      <w:pPr>
        <w:pStyle w:val="ListBullet"/>
        <w:spacing w:after="40"/>
      </w:pPr>
      <w:r>
        <w:t>Suspicion ou confirmation de compromission.</w:t>
      </w:r>
    </w:p>
    <w:p>
      <w:pPr>
        <w:pStyle w:val="ListBullet"/>
        <w:spacing w:after="40"/>
      </w:pPr>
      <w:r>
        <w:t>Découverte du mot de passe dans une fuite publique.</w:t>
      </w:r>
    </w:p>
    <w:p>
      <w:pPr>
        <w:pStyle w:val="ListBullet"/>
        <w:spacing w:after="40"/>
      </w:pPr>
      <w:r>
        <w:t>Sortie d'un collaborateur ayant connaissance du secret partagé.</w:t>
      </w:r>
    </w:p>
    <w:p>
      <w:pPr>
        <w:spacing w:before="240" w:after="80"/>
      </w:pPr>
      <w:r>
        <w:rPr>
          <w:b/>
          <w:color w:val="1F4E79"/>
          <w:sz w:val="26"/>
        </w:rPr>
        <w:t>3.3 Pratiques interdites</w:t>
      </w:r>
    </w:p>
    <w:p>
      <w:pPr>
        <w:pStyle w:val="ListBullet"/>
        <w:spacing w:after="40"/>
      </w:pPr>
      <w:r>
        <w:t>Réutilisation du mot de passe d'un autre service (notamment personnel).</w:t>
      </w:r>
    </w:p>
    <w:p>
      <w:pPr>
        <w:pStyle w:val="ListBullet"/>
        <w:spacing w:after="40"/>
      </w:pPr>
      <w:r>
        <w:t>Notation papier visible ou sur poste de travail.</w:t>
      </w:r>
    </w:p>
    <w:p>
      <w:pPr>
        <w:pStyle w:val="ListBullet"/>
        <w:spacing w:after="40"/>
      </w:pPr>
      <w:r>
        <w:t>Partage entre utilisateurs (même au sein d'une équipe).</w:t>
      </w:r>
    </w:p>
    <w:p>
      <w:pPr>
        <w:pStyle w:val="ListBullet"/>
        <w:spacing w:after="40"/>
      </w:pPr>
      <w:r>
        <w:t>Stockage en clair dans un fichier, un email ou un outil de chat.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4. Exigences applicables aux comptes à privilèges</w:t>
      </w:r>
    </w:p>
    <w:p>
      <w:pPr>
        <w:pStyle w:val="ListBullet"/>
        <w:spacing w:after="40"/>
      </w:pPr>
      <w:r>
        <w:t>Longueur minimale : 20 caractères, générés aléatoirement.</w:t>
      </w:r>
    </w:p>
    <w:p>
      <w:pPr>
        <w:pStyle w:val="ListBullet"/>
        <w:spacing w:after="40"/>
      </w:pPr>
      <w:r>
        <w:t>Stockage obligatoire dans un coffre-fort PAM (Privileged Access Management).</w:t>
      </w:r>
    </w:p>
    <w:p>
      <w:pPr>
        <w:pStyle w:val="ListBullet"/>
        <w:spacing w:after="40"/>
      </w:pPr>
      <w:r>
        <w:t>Rotation automatique tous les 30 jours, ou check-in/check-out à chaque usage.</w:t>
      </w:r>
    </w:p>
    <w:p>
      <w:pPr>
        <w:pStyle w:val="ListBullet"/>
        <w:spacing w:after="40"/>
      </w:pPr>
      <w:r>
        <w:t>MFA obligatoire (clé FIDO2 préférable).</w:t>
      </w:r>
    </w:p>
    <w:p>
      <w:pPr>
        <w:pStyle w:val="ListBullet"/>
        <w:spacing w:after="40"/>
      </w:pPr>
      <w:r>
        <w:t>Aucune utilisation pour des opérations non administratives.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5. Exigences applicables aux comptes techniques (services, API)</w:t>
      </w:r>
    </w:p>
    <w:p>
      <w:pPr>
        <w:pStyle w:val="ListBullet"/>
        <w:spacing w:after="40"/>
      </w:pPr>
      <w:r>
        <w:t>Longueur minimale : 32 caractères, générés cryptographiquement (CSPRNG).</w:t>
      </w:r>
    </w:p>
    <w:p>
      <w:pPr>
        <w:pStyle w:val="ListBullet"/>
        <w:spacing w:after="40"/>
      </w:pPr>
      <w:r>
        <w:t>Stockage dans un coffre dédié (HashiCorp Vault, Azure Key Vault, AWS Secrets Manager).</w:t>
      </w:r>
    </w:p>
    <w:p>
      <w:pPr>
        <w:pStyle w:val="ListBullet"/>
        <w:spacing w:after="40"/>
      </w:pPr>
      <w:r>
        <w:t>Rotation automatique trimestrielle ou via mécanisme à durée de vie courte (tokens éphémères).</w:t>
      </w:r>
    </w:p>
    <w:p>
      <w:pPr>
        <w:pStyle w:val="ListBullet"/>
        <w:spacing w:after="40"/>
      </w:pPr>
      <w:r>
        <w:t>Interdiction absolue de stockage dans un dépôt de code (Git) — scan secrets activé.</w:t>
      </w:r>
    </w:p>
    <w:p>
      <w:pPr>
        <w:pStyle w:val="ListBullet"/>
        <w:spacing w:after="40"/>
      </w:pPr>
      <w:r>
        <w:t>Privilèges strictement minimaux (least privilege).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6. Stockage et gestionnaires de mots de passe</w:t>
      </w:r>
    </w:p>
    <w:p>
      <w:pPr>
        <w:spacing w:line="312" w:lineRule="auto"/>
        <w:jc w:val="both"/>
      </w:pPr>
      <w:r>
        <w:t>Les utilisateurs sont tenus d'utiliser un gestionnaire de mots de passe parmi la liste validée par la DSI 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Solution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Usage autorisé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Conditions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1Password Business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Tous comptes professionnels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Compte SSO entreprise, MFA activé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Bitwarden Enterprise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Tous comptes professionnels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Auto-hébergé ou SaaS EU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KeePassXC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Comptes locaux / hors ligne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Chiffrement Argon2id, base sur ressource sécurisée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Microsoft Password Manager (Edge)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Comptes personnels uniquement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Non autorisé pour les secrets professionnels sensibles</w:t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7. Authentification multifacteur</w:t>
      </w:r>
    </w:p>
    <w:p>
      <w:pPr>
        <w:spacing w:line="312" w:lineRule="auto"/>
        <w:jc w:val="both"/>
      </w:pPr>
      <w:r>
        <w:t>Le mot de passe seul ne constitue jamais une authentification suffisante pour les accès suivants, qui requièrent obligatoirement un second facteur :</w:t>
      </w:r>
    </w:p>
    <w:p>
      <w:pPr>
        <w:pStyle w:val="ListBullet"/>
        <w:spacing w:after="40"/>
      </w:pPr>
      <w:r>
        <w:t>Tous les accès distants (VPN, ZTNA, webmail, SaaS).</w:t>
      </w:r>
    </w:p>
    <w:p>
      <w:pPr>
        <w:pStyle w:val="ListBullet"/>
        <w:spacing w:after="40"/>
      </w:pPr>
      <w:r>
        <w:t>Tous les comptes à privilèges.</w:t>
      </w:r>
    </w:p>
    <w:p>
      <w:pPr>
        <w:pStyle w:val="ListBullet"/>
        <w:spacing w:after="40"/>
      </w:pPr>
      <w:r>
        <w:t>Toute opération financière au-delà d'un seuil défini.</w:t>
      </w:r>
    </w:p>
    <w:p>
      <w:pPr>
        <w:pStyle w:val="ListBullet"/>
        <w:spacing w:after="40"/>
      </w:pPr>
      <w:r>
        <w:t>Toute opération sensible (RH, juridique, DPO).</w:t>
      </w:r>
    </w:p>
    <w:p>
      <w:pPr>
        <w:spacing w:line="312" w:lineRule="auto"/>
        <w:jc w:val="both"/>
      </w:pPr>
      <w:r>
        <w:t>Facteurs MFA acceptés, par ordre de préférence (recommandations ANSSI/NIST) : passkeys FIDO2 &gt; application TOTP avec authentification mutuelle &gt; push avec correspondance numérique &gt; SMS (déconseillé, interdit pour comptes admin).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8. Compromission et rotation</w:t>
      </w:r>
    </w:p>
    <w:p>
      <w:pPr>
        <w:spacing w:line="312" w:lineRule="auto"/>
        <w:jc w:val="both"/>
      </w:pPr>
      <w:r>
        <w:t>En cas de suspicion ou de confirmation de compromission d'un mot de passe :</w:t>
      </w:r>
    </w:p>
    <w:p>
      <w:pPr>
        <w:pStyle w:val="ListNumber"/>
        <w:spacing w:after="40"/>
      </w:pPr>
      <w:r>
        <w:t>L'utilisateur doit immédiatement le changer sur le service concerné.</w:t>
      </w:r>
    </w:p>
    <w:p>
      <w:pPr>
        <w:pStyle w:val="ListNumber"/>
        <w:spacing w:after="40"/>
      </w:pPr>
      <w:r>
        <w:t>Il doit signaler l'incident au SOC/RSSI dans l'heure qui suit la découverte.</w:t>
      </w:r>
    </w:p>
    <w:p>
      <w:pPr>
        <w:pStyle w:val="ListNumber"/>
        <w:spacing w:after="40"/>
      </w:pPr>
      <w:r>
        <w:t>Tous les comptes utilisant ce mot de passe doivent être rotés.</w:t>
      </w:r>
    </w:p>
    <w:p>
      <w:pPr>
        <w:pStyle w:val="ListNumber"/>
        <w:spacing w:after="40"/>
      </w:pPr>
      <w:r>
        <w:t>Une revue des sessions actives et des actions réalisées est menée.</w:t>
      </w:r>
    </w:p>
    <w:p>
      <w:pPr>
        <w:pStyle w:val="ListNumber"/>
        <w:spacing w:after="40"/>
      </w:pPr>
      <w:r>
        <w:t>Un rapport d'incident est ouvert conformément à la procédure de gestion des incidents.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9. Contrôle de conformité</w:t>
      </w:r>
    </w:p>
    <w:p>
      <w:pPr>
        <w:pStyle w:val="ListBullet"/>
        <w:spacing w:after="40"/>
      </w:pPr>
      <w:r>
        <w:t>Audit trimestriel des comptes à privilèges (rotation, MFA, dormance).</w:t>
      </w:r>
    </w:p>
    <w:p>
      <w:pPr>
        <w:pStyle w:val="ListBullet"/>
        <w:spacing w:after="40"/>
      </w:pPr>
      <w:r>
        <w:t>Tests de robustesse semestriels (hashcat sur hashs prélevés en environnement isolé).</w:t>
      </w:r>
    </w:p>
    <w:p>
      <w:pPr>
        <w:pStyle w:val="ListBullet"/>
        <w:spacing w:after="40"/>
      </w:pPr>
      <w:r>
        <w:t>Veille hebdomadaire sur les fuites de données (HaveIBeenPwned API).</w:t>
      </w:r>
    </w:p>
    <w:p>
      <w:pPr>
        <w:pStyle w:val="ListBullet"/>
        <w:spacing w:after="40"/>
      </w:pPr>
      <w:r>
        <w:t>Sensibilisation annuelle obligatoire pour l'ensemble des utilisateurs.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3213"/>
        </w:tcPr>
        <w:p>
          <w:r>
            <w:rPr>
              <w:color w:val="595959"/>
              <w:sz w:val="16"/>
            </w:rPr>
            <w:t>© Ayinedjimi Consultants — ayinedjimi-consultants.fr</w:t>
          </w:r>
        </w:p>
      </w:tc>
      <w:tc>
        <w:tcPr>
          <w:tcW w:type="dxa" w:w="3213"/>
        </w:tcPr>
        <w:p>
          <w:pPr>
            <w:jc w:val="center"/>
          </w:pPr>
          <w:r>
            <w:rPr>
              <w:color w:val="595959"/>
              <w:sz w:val="16"/>
            </w:rPr>
            <w:t>Document confidentiel — Usage interne</w:t>
          </w:r>
        </w:p>
      </w:tc>
      <w:tc>
        <w:tcPr>
          <w:tcW w:type="dxa" w:w="3213"/>
        </w:tcPr>
        <w:p>
          <w:pPr>
            <w:jc w:val="right"/>
          </w:pPr>
          <w:r>
            <w:rPr>
              <w:color w:val="595959"/>
              <w:sz w:val="16"/>
            </w:rPr>
            <w:t xml:space="preserve">Page </w:t>
            <w:fldSimple w:instr="PAGE \* MERGEFORMAT">
              <w:r>
                <w:t>1</w:t>
              </w:r>
            </w:fldSimple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819"/>
      <w:gridCol w:w="4819"/>
    </w:tblGrid>
    <w:tr>
      <w:tc>
        <w:tcPr>
          <w:tcW w:type="dxa" w:w="4819"/>
        </w:tcPr>
        <w:p>
          <w:pPr>
            <w:jc w:val="left"/>
          </w:pPr>
          <w:r>
            <w:rPr>
              <w:color w:val="595959"/>
              <w:sz w:val="18"/>
            </w:rPr>
            <w:t>ayinedjimi-consultants.fr</w:t>
          </w:r>
        </w:p>
      </w:tc>
      <w:tc>
        <w:tcPr>
          <w:tcW w:type="dxa" w:w="4819"/>
        </w:tcPr>
        <w:p>
          <w:pPr>
            <w:jc w:val="right"/>
          </w:pPr>
          <w:r>
            <w:rPr>
              <w:color w:val="595959"/>
              <w:sz w:val="18"/>
            </w:rPr>
            <w:t>ISO/IEC 27001:2022 — Template Gratuit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