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0"/>
        <w:jc w:val="center"/>
      </w:pPr>
      <w:r>
        <w:rPr>
          <w:b/>
          <w:color w:val="1F4E79"/>
          <w:sz w:val="22"/>
        </w:rPr>
        <w:t>ISO/IEC 27001:2022 — TEMPLATE GRATUIT</w:t>
      </w:r>
    </w:p>
    <w:p>
      <w:pPr>
        <w:spacing w:before="400"/>
        <w:jc w:val="center"/>
      </w:pPr>
      <w:r>
        <w:rPr>
          <w:b/>
          <w:color w:val="0B2545"/>
          <w:sz w:val="52"/>
        </w:rPr>
        <w:t>Politique de gestion des accès logiques</w:t>
      </w:r>
    </w:p>
    <w:p>
      <w:pPr>
        <w:jc w:val="center"/>
      </w:pPr>
      <w:r>
        <w:rPr>
          <w:i/>
          <w:color w:val="595959"/>
          <w:sz w:val="26"/>
        </w:rPr>
        <w:t>Conforme ISO/IEC 27001:2022 — A.5.15 à A.5.18 / A.8.2 à A.8.5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3969"/>
            <w:shd w:val="clear" w:color="auto" w:fill="E7EAF1"/>
          </w:tcPr>
          <w:p>
            <w:r>
              <w:rPr>
                <w:b/>
              </w:rPr>
              <w:t>Référence</w:t>
            </w:r>
          </w:p>
        </w:tc>
        <w:tc>
          <w:tcPr>
            <w:tcW w:type="dxa" w:w="3969"/>
          </w:tcPr>
          <w:p>
            <w:r>
              <w:t>TPL-ISO27001-XXXX-v1.0</w:t>
            </w:r>
          </w:p>
        </w:tc>
      </w:tr>
      <w:tr>
        <w:tc>
          <w:tcPr>
            <w:tcW w:type="dxa" w:w="3969"/>
            <w:shd w:val="clear" w:color="auto" w:fill="E7EAF1"/>
          </w:tcPr>
          <w:p>
            <w:r>
              <w:rPr>
                <w:b/>
              </w:rPr>
              <w:t>Version</w:t>
            </w:r>
          </w:p>
        </w:tc>
        <w:tc>
          <w:tcPr>
            <w:tcW w:type="dxa" w:w="3969"/>
          </w:tcPr>
          <w:p>
            <w:r>
              <w:t>1.0</w:t>
            </w:r>
          </w:p>
        </w:tc>
      </w:tr>
      <w:tr>
        <w:tc>
          <w:tcPr>
            <w:tcW w:type="dxa" w:w="3969"/>
            <w:shd w:val="clear" w:color="auto" w:fill="E7EAF1"/>
          </w:tcPr>
          <w:p>
            <w:r>
              <w:rPr>
                <w:b/>
              </w:rPr>
              <w:t>Date d'émission</w:t>
            </w:r>
          </w:p>
        </w:tc>
        <w:tc>
          <w:tcPr>
            <w:tcW w:type="dxa" w:w="3969"/>
          </w:tcPr>
          <w:p>
            <w:r>
              <w:t>—</w:t>
            </w:r>
          </w:p>
        </w:tc>
      </w:tr>
      <w:tr>
        <w:tc>
          <w:tcPr>
            <w:tcW w:type="dxa" w:w="3969"/>
            <w:shd w:val="clear" w:color="auto" w:fill="E7EAF1"/>
          </w:tcPr>
          <w:p>
            <w:r>
              <w:rPr>
                <w:b/>
              </w:rPr>
              <w:t>Approuvé par</w:t>
            </w:r>
          </w:p>
        </w:tc>
        <w:tc>
          <w:tcPr>
            <w:tcW w:type="dxa" w:w="3969"/>
          </w:tcPr>
          <w:p>
            <w:r>
              <w:t>Direction Générale / RSSI</w:t>
            </w:r>
          </w:p>
        </w:tc>
      </w:tr>
      <w:tr>
        <w:tc>
          <w:tcPr>
            <w:tcW w:type="dxa" w:w="3969"/>
            <w:shd w:val="clear" w:color="auto" w:fill="E7EAF1"/>
          </w:tcPr>
          <w:p>
            <w:r>
              <w:rPr>
                <w:b/>
              </w:rPr>
              <w:t>Classification</w:t>
            </w:r>
          </w:p>
        </w:tc>
        <w:tc>
          <w:tcPr>
            <w:tcW w:type="dxa" w:w="3969"/>
          </w:tcPr>
          <w:p>
            <w:r>
              <w:t>Interne</w:t>
            </w:r>
          </w:p>
        </w:tc>
      </w:tr>
    </w:tbl>
    <w:p>
      <w:r>
        <w:br w:type="page"/>
      </w:r>
    </w:p>
    <w:p>
      <w:pPr>
        <w:spacing w:before="360" w:after="160"/>
        <w:pBdr>
          <w:bottom w:val="single" w:sz="8" w:space="1" w:color="1F4E79"/>
        </w:pBdr>
      </w:pPr>
      <w:r>
        <w:rPr>
          <w:b/>
          <w:color w:val="0B2545"/>
          <w:sz w:val="36"/>
        </w:rPr>
        <w:t>Sommaire</w:t>
      </w:r>
    </w:p>
    <w:p>
      <w:pPr>
        <w:spacing w:after="60"/>
      </w:pPr>
      <w:r>
        <w:rPr>
          <w:sz w:val="22"/>
        </w:rPr>
        <w:t>1. Objet et portée</w:t>
      </w:r>
    </w:p>
    <w:p>
      <w:pPr>
        <w:spacing w:after="60"/>
      </w:pPr>
      <w:r>
        <w:rPr>
          <w:sz w:val="22"/>
        </w:rPr>
        <w:t>2. Principes directeurs</w:t>
      </w:r>
    </w:p>
    <w:p>
      <w:pPr>
        <w:spacing w:after="60"/>
      </w:pPr>
      <w:r>
        <w:rPr>
          <w:sz w:val="22"/>
        </w:rPr>
        <w:t>3. Modèle de contrôle d'accès (RBAC)</w:t>
      </w:r>
    </w:p>
    <w:p>
      <w:pPr>
        <w:spacing w:after="60"/>
      </w:pPr>
      <w:r>
        <w:rPr>
          <w:sz w:val="22"/>
        </w:rPr>
        <w:t>4. Gestion du cycle de vie des comptes</w:t>
      </w:r>
    </w:p>
    <w:p>
      <w:pPr>
        <w:spacing w:after="60"/>
      </w:pPr>
      <w:r>
        <w:rPr>
          <w:sz w:val="22"/>
        </w:rPr>
        <w:t>5. Comptes à privilèges</w:t>
      </w:r>
    </w:p>
    <w:p>
      <w:pPr>
        <w:spacing w:after="60"/>
      </w:pPr>
      <w:r>
        <w:rPr>
          <w:sz w:val="22"/>
        </w:rPr>
        <w:t>6. Authentification multifacteur (MFA)</w:t>
      </w:r>
    </w:p>
    <w:p>
      <w:pPr>
        <w:spacing w:after="60"/>
      </w:pPr>
      <w:r>
        <w:rPr>
          <w:sz w:val="22"/>
        </w:rPr>
        <w:t>7. Revue périodique des accès</w:t>
      </w:r>
    </w:p>
    <w:p>
      <w:pPr>
        <w:spacing w:after="60"/>
      </w:pPr>
      <w:r>
        <w:rPr>
          <w:sz w:val="22"/>
        </w:rPr>
        <w:t>8. Journalisation et surveillance</w:t>
      </w:r>
    </w:p>
    <w:p>
      <w:pPr>
        <w:spacing w:after="60"/>
      </w:pPr>
      <w:r>
        <w:rPr>
          <w:sz w:val="22"/>
        </w:rPr>
        <w:t>9. Rôles et responsabilités</w:t>
      </w:r>
    </w:p>
    <w:p>
      <w:pPr>
        <w:spacing w:after="60"/>
      </w:pPr>
      <w:r>
        <w:rPr>
          <w:sz w:val="22"/>
        </w:rPr>
        <w:t>10. Indicateurs et conformité</w:t>
      </w:r>
    </w:p>
    <w:p>
      <w:r>
        <w:br w:type="page"/>
      </w:r>
    </w:p>
    <w:p>
      <w:pPr>
        <w:spacing w:before="360" w:after="160"/>
        <w:pBdr>
          <w:bottom w:val="single" w:sz="8" w:space="1" w:color="1F4E79"/>
        </w:pBdr>
      </w:pPr>
      <w:r>
        <w:rPr>
          <w:b/>
          <w:color w:val="0B2545"/>
          <w:sz w:val="36"/>
        </w:rPr>
        <w:t>1. Objet et portée</w:t>
      </w:r>
    </w:p>
    <w:p>
      <w:pPr>
        <w:spacing w:line="312" w:lineRule="auto"/>
        <w:jc w:val="both"/>
      </w:pPr>
      <w:r>
        <w:t>La présente politique définit les exigences applicables à la gestion des accès logiques au système d'information, en application des contrôles A.5.15 « Contrôle d'accès », A.5.16 « Gestion des identités », A.5.17 « Informations d'authentification », A.5.18 « Droits d'accès », A.8.2 « Droits d'accès privilégiés », A.8.3 « Restriction d'accès aux informations » et A.8.5 « Authentification sécurisée » de la norme ISO/IEC 27001:2022.</w:t>
      </w:r>
    </w:p>
    <w:p>
      <w:pPr>
        <w:spacing w:line="312" w:lineRule="auto"/>
        <w:jc w:val="both"/>
      </w:pPr>
      <w:r>
        <w:t>Elle s'applique à tous les systèmes d'information de l'organisation, qu'ils soient hébergés en interne ou en mode SaaS/PaaS/IaaS, et à toutes les catégories d'utilisateurs (internes, prestataires, comptes de service).</w:t>
      </w:r>
    </w:p>
    <w:p>
      <w:pPr>
        <w:spacing w:before="360" w:after="160"/>
        <w:pBdr>
          <w:bottom w:val="single" w:sz="8" w:space="1" w:color="1F4E79"/>
        </w:pBdr>
      </w:pPr>
      <w:r>
        <w:rPr>
          <w:b/>
          <w:color w:val="0B2545"/>
          <w:sz w:val="36"/>
        </w:rPr>
        <w:t>2. Principes directeurs</w:t>
      </w:r>
    </w:p>
    <w:p>
      <w:pPr>
        <w:pStyle w:val="ListBullet"/>
        <w:spacing w:after="40"/>
      </w:pPr>
      <w:r>
        <w:t>Principe du moindre privilège : les droits accordés sont strictement nécessaires aux missions.</w:t>
      </w:r>
    </w:p>
    <w:p>
      <w:pPr>
        <w:pStyle w:val="ListBullet"/>
        <w:spacing w:after="40"/>
      </w:pPr>
      <w:r>
        <w:t>Principe du besoin d'en connaître : l'accès aux informations est limité aux personnes habilitées.</w:t>
      </w:r>
    </w:p>
    <w:p>
      <w:pPr>
        <w:pStyle w:val="ListBullet"/>
        <w:spacing w:after="40"/>
      </w:pPr>
      <w:r>
        <w:t>Séparation des tâches : aucune fonction sensible n'est exécutée par une seule personne sans contrôle.</w:t>
      </w:r>
    </w:p>
    <w:p>
      <w:pPr>
        <w:pStyle w:val="ListBullet"/>
        <w:spacing w:after="40"/>
      </w:pPr>
      <w:r>
        <w:t>Authentification forte pour tout accès distant ou à des données sensibles.</w:t>
      </w:r>
    </w:p>
    <w:p>
      <w:pPr>
        <w:pStyle w:val="ListBullet"/>
        <w:spacing w:after="40"/>
      </w:pPr>
      <w:r>
        <w:t>Traçabilité de toute action d'identification, d'authentification et d'autorisation.</w:t>
      </w:r>
    </w:p>
    <w:p>
      <w:pPr>
        <w:pStyle w:val="ListBullet"/>
        <w:spacing w:after="40"/>
      </w:pPr>
      <w:r>
        <w:t>Révocation immédiate des accès en cas de cessation d'activité.</w:t>
      </w:r>
    </w:p>
    <w:p>
      <w:pPr>
        <w:spacing w:before="360" w:after="160"/>
        <w:pBdr>
          <w:bottom w:val="single" w:sz="8" w:space="1" w:color="1F4E79"/>
        </w:pBdr>
      </w:pPr>
      <w:r>
        <w:rPr>
          <w:b/>
          <w:color w:val="0B2545"/>
          <w:sz w:val="36"/>
        </w:rPr>
        <w:t>3. Modèle de contrôle d'accès (RBAC)</w:t>
      </w:r>
    </w:p>
    <w:p>
      <w:pPr>
        <w:spacing w:line="312" w:lineRule="auto"/>
        <w:jc w:val="both"/>
      </w:pPr>
      <w:r>
        <w:t>L'organisation met en œuvre un contrôle d'accès basé sur les rôles (Role-Based Access Control). Chaque rôle est défini en fonction des responsabilités métier et associé à un ensemble de permissions techniques. Les utilisateurs se voient attribuer un ou plusieurs rôles via le système de gestion d'identités (IAM/IGA).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3249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Type de rôle</w:t>
            </w:r>
          </w:p>
        </w:tc>
        <w:tc>
          <w:tcPr>
            <w:tcW w:type="dxa" w:w="3249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Exemples</w:t>
            </w:r>
          </w:p>
        </w:tc>
        <w:tc>
          <w:tcPr>
            <w:tcW w:type="dxa" w:w="3249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Validation</w:t>
            </w:r>
          </w:p>
        </w:tc>
      </w:tr>
      <w:tr>
        <w:tc>
          <w:tcPr>
            <w:tcW w:type="dxa" w:w="3249"/>
            <w:vAlign w:val="center"/>
          </w:tcPr>
          <w:p>
            <w:r>
              <w:rPr>
                <w:sz w:val="20"/>
              </w:rPr>
              <w:t>Rôle métier standard</w:t>
            </w:r>
          </w:p>
        </w:tc>
        <w:tc>
          <w:tcPr>
            <w:tcW w:type="dxa" w:w="3249"/>
            <w:vAlign w:val="center"/>
          </w:tcPr>
          <w:p>
            <w:r>
              <w:rPr>
                <w:sz w:val="20"/>
              </w:rPr>
              <w:t>Comptable, Commercial, RH</w:t>
            </w:r>
          </w:p>
        </w:tc>
        <w:tc>
          <w:tcPr>
            <w:tcW w:type="dxa" w:w="3249"/>
            <w:vAlign w:val="center"/>
          </w:tcPr>
          <w:p>
            <w:r>
              <w:rPr>
                <w:sz w:val="20"/>
              </w:rPr>
              <w:t>Manager + RSSI</w:t>
            </w:r>
          </w:p>
        </w:tc>
      </w:tr>
      <w:tr>
        <w:tc>
          <w:tcPr>
            <w:tcW w:type="dxa" w:w="3249"/>
            <w:vAlign w:val="center"/>
          </w:tcPr>
          <w:p>
            <w:r>
              <w:rPr>
                <w:sz w:val="20"/>
              </w:rPr>
              <w:t>Rôle métier sensible</w:t>
            </w:r>
          </w:p>
        </w:tc>
        <w:tc>
          <w:tcPr>
            <w:tcW w:type="dxa" w:w="3249"/>
            <w:vAlign w:val="center"/>
          </w:tcPr>
          <w:p>
            <w:r>
              <w:rPr>
                <w:sz w:val="20"/>
              </w:rPr>
              <w:t>DAF, DRH, validation virements</w:t>
            </w:r>
          </w:p>
        </w:tc>
        <w:tc>
          <w:tcPr>
            <w:tcW w:type="dxa" w:w="3249"/>
            <w:vAlign w:val="center"/>
          </w:tcPr>
          <w:p>
            <w:r>
              <w:rPr>
                <w:sz w:val="20"/>
              </w:rPr>
              <w:t>Direction + RSSI + DPO</w:t>
            </w:r>
          </w:p>
        </w:tc>
      </w:tr>
      <w:tr>
        <w:tc>
          <w:tcPr>
            <w:tcW w:type="dxa" w:w="3249"/>
            <w:vAlign w:val="center"/>
          </w:tcPr>
          <w:p>
            <w:r>
              <w:rPr>
                <w:sz w:val="20"/>
              </w:rPr>
              <w:t>Rôle administrateur</w:t>
            </w:r>
          </w:p>
        </w:tc>
        <w:tc>
          <w:tcPr>
            <w:tcW w:type="dxa" w:w="3249"/>
            <w:vAlign w:val="center"/>
          </w:tcPr>
          <w:p>
            <w:r>
              <w:rPr>
                <w:sz w:val="20"/>
              </w:rPr>
              <w:t>Admin AD, DBA, admin cloud</w:t>
            </w:r>
          </w:p>
        </w:tc>
        <w:tc>
          <w:tcPr>
            <w:tcW w:type="dxa" w:w="3249"/>
            <w:vAlign w:val="center"/>
          </w:tcPr>
          <w:p>
            <w:r>
              <w:rPr>
                <w:sz w:val="20"/>
              </w:rPr>
              <w:t>RSSI + DSI</w:t>
            </w:r>
          </w:p>
        </w:tc>
      </w:tr>
      <w:tr>
        <w:tc>
          <w:tcPr>
            <w:tcW w:type="dxa" w:w="3249"/>
            <w:vAlign w:val="center"/>
          </w:tcPr>
          <w:p>
            <w:r>
              <w:rPr>
                <w:sz w:val="20"/>
              </w:rPr>
              <w:t>Rôle d'audit</w:t>
            </w:r>
          </w:p>
        </w:tc>
        <w:tc>
          <w:tcPr>
            <w:tcW w:type="dxa" w:w="3249"/>
            <w:vAlign w:val="center"/>
          </w:tcPr>
          <w:p>
            <w:r>
              <w:rPr>
                <w:sz w:val="20"/>
              </w:rPr>
              <w:t>Auditeur interne/externe (lecture)</w:t>
            </w:r>
          </w:p>
        </w:tc>
        <w:tc>
          <w:tcPr>
            <w:tcW w:type="dxa" w:w="3249"/>
            <w:vAlign w:val="center"/>
          </w:tcPr>
          <w:p>
            <w:r>
              <w:rPr>
                <w:sz w:val="20"/>
              </w:rPr>
              <w:t>RSSI</w:t>
            </w:r>
          </w:p>
        </w:tc>
      </w:tr>
    </w:tbl>
    <w:p>
      <w:pPr>
        <w:spacing w:before="360" w:after="160"/>
        <w:pBdr>
          <w:bottom w:val="single" w:sz="8" w:space="1" w:color="1F4E79"/>
        </w:pBdr>
      </w:pPr>
      <w:r>
        <w:rPr>
          <w:b/>
          <w:color w:val="0B2545"/>
          <w:sz w:val="36"/>
        </w:rPr>
        <w:t>4. Gestion du cycle de vie des comptes</w:t>
      </w:r>
    </w:p>
    <w:p>
      <w:pPr>
        <w:spacing w:before="240" w:after="80"/>
      </w:pPr>
      <w:r>
        <w:rPr>
          <w:b/>
          <w:color w:val="1F4E79"/>
          <w:sz w:val="26"/>
        </w:rPr>
        <w:t>4.1 Provisioning (arrivée)</w:t>
      </w:r>
    </w:p>
    <w:p>
      <w:pPr>
        <w:pStyle w:val="ListNumber"/>
        <w:spacing w:after="40"/>
      </w:pPr>
      <w:r>
        <w:t>Demande formelle du manager via le ticket RH dédié, validée par le RSSI pour les rôles sensibles.</w:t>
      </w:r>
    </w:p>
    <w:p>
      <w:pPr>
        <w:pStyle w:val="ListNumber"/>
        <w:spacing w:after="40"/>
      </w:pPr>
      <w:r>
        <w:t>Création du compte dans l'IAM dans un délai maximal de 2 jours ouvrés avant la prise de poste.</w:t>
      </w:r>
    </w:p>
    <w:p>
      <w:pPr>
        <w:pStyle w:val="ListNumber"/>
        <w:spacing w:after="40"/>
      </w:pPr>
      <w:r>
        <w:t>Attribution d'un mot de passe initial à usage unique (changement obligatoire à la 1re connexion).</w:t>
      </w:r>
    </w:p>
    <w:p>
      <w:pPr>
        <w:pStyle w:val="ListNumber"/>
        <w:spacing w:after="40"/>
      </w:pPr>
      <w:r>
        <w:t>Activation obligatoire du MFA dès la première connexion.</w:t>
      </w:r>
    </w:p>
    <w:p>
      <w:pPr>
        <w:spacing w:before="240" w:after="80"/>
      </w:pPr>
      <w:r>
        <w:rPr>
          <w:b/>
          <w:color w:val="1F4E79"/>
          <w:sz w:val="26"/>
        </w:rPr>
        <w:t>4.2 Modification (mobilité)</w:t>
      </w:r>
    </w:p>
    <w:p>
      <w:pPr>
        <w:pStyle w:val="ListNumber"/>
        <w:spacing w:after="40"/>
      </w:pPr>
      <w:r>
        <w:t>Demande de mobilité validée par le manager source et le manager cible.</w:t>
      </w:r>
    </w:p>
    <w:p>
      <w:pPr>
        <w:pStyle w:val="ListNumber"/>
        <w:spacing w:after="40"/>
      </w:pPr>
      <w:r>
        <w:t>Révocation des droits antérieurs avant attribution des nouveaux droits (pas de cumul).</w:t>
      </w:r>
    </w:p>
    <w:p>
      <w:pPr>
        <w:pStyle w:val="ListNumber"/>
        <w:spacing w:after="40"/>
      </w:pPr>
      <w:r>
        <w:t>Mise à jour effectuée dans l'IAM dans un délai maximal de 5 jours ouvrés.</w:t>
      </w:r>
    </w:p>
    <w:p>
      <w:pPr>
        <w:spacing w:before="240" w:after="80"/>
      </w:pPr>
      <w:r>
        <w:rPr>
          <w:b/>
          <w:color w:val="1F4E79"/>
          <w:sz w:val="26"/>
        </w:rPr>
        <w:t>4.3 Déprovisioning (départ)</w:t>
      </w:r>
    </w:p>
    <w:p>
      <w:pPr>
        <w:pStyle w:val="ListNumber"/>
        <w:spacing w:after="40"/>
      </w:pPr>
      <w:r>
        <w:t>Désactivation du compte le jour J du départ, à H+1h maximum après la sortie effective.</w:t>
      </w:r>
    </w:p>
    <w:p>
      <w:pPr>
        <w:pStyle w:val="ListNumber"/>
        <w:spacing w:after="40"/>
      </w:pPr>
      <w:r>
        <w:t>Conservation du compte désactivé pendant 30 jours (récupération éventuelle de données).</w:t>
      </w:r>
    </w:p>
    <w:p>
      <w:pPr>
        <w:pStyle w:val="ListNumber"/>
        <w:spacing w:after="40"/>
      </w:pPr>
      <w:r>
        <w:t>Suppression définitive après 90 jours, sauf obligation légale (5 à 10 ans pour certains accès).</w:t>
      </w:r>
    </w:p>
    <w:p>
      <w:pPr>
        <w:pStyle w:val="ListNumber"/>
        <w:spacing w:after="40"/>
      </w:pPr>
      <w:r>
        <w:t>Restitution intégrale des actifs physiques (badge, matériel, supports).</w:t>
      </w:r>
    </w:p>
    <w:p>
      <w:pPr>
        <w:spacing w:before="360" w:after="160"/>
        <w:pBdr>
          <w:bottom w:val="single" w:sz="8" w:space="1" w:color="1F4E79"/>
        </w:pBdr>
      </w:pPr>
      <w:r>
        <w:rPr>
          <w:b/>
          <w:color w:val="0B2545"/>
          <w:sz w:val="36"/>
        </w:rPr>
        <w:t>5. Comptes à privilèges</w:t>
      </w:r>
    </w:p>
    <w:p>
      <w:pPr>
        <w:spacing w:line="312" w:lineRule="auto"/>
        <w:jc w:val="both"/>
      </w:pPr>
      <w:r>
        <w:t>Les comptes à privilèges (administrateurs, comptes de service, comptes break-glass) font l'objet d'une protection renforcée :</w:t>
      </w:r>
    </w:p>
    <w:p>
      <w:pPr>
        <w:pStyle w:val="ListBullet"/>
        <w:spacing w:after="40"/>
      </w:pPr>
      <w:r>
        <w:t>Mots de passe coffre-fort centralisé (PAM) avec rotation automatique.</w:t>
      </w:r>
    </w:p>
    <w:p>
      <w:pPr>
        <w:pStyle w:val="ListBullet"/>
        <w:spacing w:after="40"/>
      </w:pPr>
      <w:r>
        <w:t>MFA obligatoire pour toute authentification interactive.</w:t>
      </w:r>
    </w:p>
    <w:p>
      <w:pPr>
        <w:pStyle w:val="ListBullet"/>
        <w:spacing w:after="40"/>
      </w:pPr>
      <w:r>
        <w:t>Sessions enregistrées (vidéo) et journalisées (commandes).</w:t>
      </w:r>
    </w:p>
    <w:p>
      <w:pPr>
        <w:pStyle w:val="ListBullet"/>
        <w:spacing w:after="40"/>
      </w:pPr>
      <w:r>
        <w:t>Approbation par un pair (workflow d'approbation) pour les actions critiques.</w:t>
      </w:r>
    </w:p>
    <w:p>
      <w:pPr>
        <w:pStyle w:val="ListBullet"/>
        <w:spacing w:after="40"/>
      </w:pPr>
      <w:r>
        <w:t>Comptes nominatifs (pas de compte partagé en dehors des comptes de service techniques).</w:t>
      </w:r>
    </w:p>
    <w:p>
      <w:pPr>
        <w:pStyle w:val="ListBullet"/>
        <w:spacing w:after="40"/>
      </w:pPr>
      <w:r>
        <w:t>Revue trimestrielle systématique par le RSSI.</w:t>
      </w:r>
    </w:p>
    <w:p>
      <w:pPr>
        <w:spacing w:before="360" w:after="160"/>
        <w:pBdr>
          <w:bottom w:val="single" w:sz="8" w:space="1" w:color="1F4E79"/>
        </w:pBdr>
      </w:pPr>
      <w:r>
        <w:rPr>
          <w:b/>
          <w:color w:val="0B2545"/>
          <w:sz w:val="36"/>
        </w:rPr>
        <w:t>6. Authentification multifacteur (MFA)</w:t>
      </w:r>
    </w:p>
    <w:p>
      <w:pPr>
        <w:spacing w:line="312" w:lineRule="auto"/>
        <w:jc w:val="both"/>
      </w:pPr>
      <w:r>
        <w:t>Le MFA est obligatoire pour :</w:t>
      </w:r>
    </w:p>
    <w:p>
      <w:pPr>
        <w:pStyle w:val="ListBullet"/>
        <w:spacing w:after="40"/>
      </w:pPr>
      <w:r>
        <w:t>Tout accès distant (VPN, ZTNA, RDP via bastion).</w:t>
      </w:r>
    </w:p>
    <w:p>
      <w:pPr>
        <w:pStyle w:val="ListBullet"/>
        <w:spacing w:after="40"/>
      </w:pPr>
      <w:r>
        <w:t>Tout compte administrateur, sans exception.</w:t>
      </w:r>
    </w:p>
    <w:p>
      <w:pPr>
        <w:pStyle w:val="ListBullet"/>
        <w:spacing w:after="40"/>
      </w:pPr>
      <w:r>
        <w:t>L'accès aux applications traitant des données « Confidentielles » ou « Restreintes ».</w:t>
      </w:r>
    </w:p>
    <w:p>
      <w:pPr>
        <w:pStyle w:val="ListBullet"/>
        <w:spacing w:after="40"/>
      </w:pPr>
      <w:r>
        <w:t>L'accès aux consoles d'administration cloud (AWS, Azure, GCP, M365).</w:t>
      </w:r>
    </w:p>
    <w:p>
      <w:pPr>
        <w:spacing w:line="312" w:lineRule="auto"/>
        <w:jc w:val="both"/>
      </w:pPr>
      <w:r>
        <w:t>Facteurs autorisés (par ordre de préférence) : 1) clés FIDO2/passkeys ; 2) applications TOTP (Microsoft Authenticator, Google Authenticator) ; 3) notifications push avec correspondance numérique. Les SMS sont prohibés pour les comptes à privilèges.</w:t>
      </w:r>
    </w:p>
    <w:p>
      <w:pPr>
        <w:spacing w:before="360" w:after="160"/>
        <w:pBdr>
          <w:bottom w:val="single" w:sz="8" w:space="1" w:color="1F4E79"/>
        </w:pBdr>
      </w:pPr>
      <w:r>
        <w:rPr>
          <w:b/>
          <w:color w:val="0B2545"/>
          <w:sz w:val="36"/>
        </w:rPr>
        <w:t>7. Revue périodique des accès</w:t>
      </w:r>
    </w:p>
    <w:p>
      <w:pPr>
        <w:spacing w:line="312" w:lineRule="auto"/>
        <w:jc w:val="both"/>
      </w:pPr>
      <w:r>
        <w:t>Les droits d'accès font l'objet de revues planifiées :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436"/>
        <w:gridCol w:w="2436"/>
        <w:gridCol w:w="2436"/>
        <w:gridCol w:w="2436"/>
      </w:tblGrid>
      <w:tr>
        <w:tc>
          <w:tcPr>
            <w:tcW w:type="dxa" w:w="2436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Périmètre</w:t>
            </w:r>
          </w:p>
        </w:tc>
        <w:tc>
          <w:tcPr>
            <w:tcW w:type="dxa" w:w="2436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Fréquence</w:t>
            </w:r>
          </w:p>
        </w:tc>
        <w:tc>
          <w:tcPr>
            <w:tcW w:type="dxa" w:w="2436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Responsable</w:t>
            </w:r>
          </w:p>
        </w:tc>
        <w:tc>
          <w:tcPr>
            <w:tcW w:type="dxa" w:w="2436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Évidence</w:t>
            </w:r>
          </w:p>
        </w:tc>
      </w:tr>
      <w:tr>
        <w:tc>
          <w:tcPr>
            <w:tcW w:type="dxa" w:w="2436"/>
            <w:vAlign w:val="center"/>
          </w:tcPr>
          <w:p>
            <w:r>
              <w:rPr>
                <w:sz w:val="20"/>
              </w:rPr>
              <w:t>Comptes à privilèges</w:t>
            </w:r>
          </w:p>
        </w:tc>
        <w:tc>
          <w:tcPr>
            <w:tcW w:type="dxa" w:w="2436"/>
            <w:vAlign w:val="center"/>
          </w:tcPr>
          <w:p>
            <w:r>
              <w:rPr>
                <w:sz w:val="20"/>
              </w:rPr>
              <w:t>Trimestrielle</w:t>
            </w:r>
          </w:p>
        </w:tc>
        <w:tc>
          <w:tcPr>
            <w:tcW w:type="dxa" w:w="2436"/>
            <w:vAlign w:val="center"/>
          </w:tcPr>
          <w:p>
            <w:r>
              <w:rPr>
                <w:sz w:val="20"/>
              </w:rPr>
              <w:t>RSSI</w:t>
            </w:r>
          </w:p>
        </w:tc>
        <w:tc>
          <w:tcPr>
            <w:tcW w:type="dxa" w:w="2436"/>
            <w:vAlign w:val="center"/>
          </w:tcPr>
          <w:p>
            <w:r>
              <w:rPr>
                <w:sz w:val="20"/>
              </w:rPr>
              <w:t>Rapport signé + tickets corrections</w:t>
            </w:r>
          </w:p>
        </w:tc>
      </w:tr>
      <w:tr>
        <w:tc>
          <w:tcPr>
            <w:tcW w:type="dxa" w:w="2436"/>
            <w:vAlign w:val="center"/>
          </w:tcPr>
          <w:p>
            <w:r>
              <w:rPr>
                <w:sz w:val="20"/>
              </w:rPr>
              <w:t>Accès aux applications sensibles</w:t>
            </w:r>
          </w:p>
        </w:tc>
        <w:tc>
          <w:tcPr>
            <w:tcW w:type="dxa" w:w="2436"/>
            <w:vAlign w:val="center"/>
          </w:tcPr>
          <w:p>
            <w:r>
              <w:rPr>
                <w:sz w:val="20"/>
              </w:rPr>
              <w:t>Semestrielle</w:t>
            </w:r>
          </w:p>
        </w:tc>
        <w:tc>
          <w:tcPr>
            <w:tcW w:type="dxa" w:w="2436"/>
            <w:vAlign w:val="center"/>
          </w:tcPr>
          <w:p>
            <w:r>
              <w:rPr>
                <w:sz w:val="20"/>
              </w:rPr>
              <w:t>Propriétaire métier + RSSI</w:t>
            </w:r>
          </w:p>
        </w:tc>
        <w:tc>
          <w:tcPr>
            <w:tcW w:type="dxa" w:w="2436"/>
            <w:vAlign w:val="center"/>
          </w:tcPr>
          <w:p>
            <w:r>
              <w:rPr>
                <w:sz w:val="20"/>
              </w:rPr>
              <w:t>Attestations validation</w:t>
            </w:r>
          </w:p>
        </w:tc>
      </w:tr>
      <w:tr>
        <w:tc>
          <w:tcPr>
            <w:tcW w:type="dxa" w:w="2436"/>
            <w:vAlign w:val="center"/>
          </w:tcPr>
          <w:p>
            <w:r>
              <w:rPr>
                <w:sz w:val="20"/>
              </w:rPr>
              <w:t>Accès utilisateurs standards</w:t>
            </w:r>
          </w:p>
        </w:tc>
        <w:tc>
          <w:tcPr>
            <w:tcW w:type="dxa" w:w="2436"/>
            <w:vAlign w:val="center"/>
          </w:tcPr>
          <w:p>
            <w:r>
              <w:rPr>
                <w:sz w:val="20"/>
              </w:rPr>
              <w:t>Annuelle</w:t>
            </w:r>
          </w:p>
        </w:tc>
        <w:tc>
          <w:tcPr>
            <w:tcW w:type="dxa" w:w="2436"/>
            <w:vAlign w:val="center"/>
          </w:tcPr>
          <w:p>
            <w:r>
              <w:rPr>
                <w:sz w:val="20"/>
              </w:rPr>
              <w:t>Manager direct</w:t>
            </w:r>
          </w:p>
        </w:tc>
        <w:tc>
          <w:tcPr>
            <w:tcW w:type="dxa" w:w="2436"/>
            <w:vAlign w:val="center"/>
          </w:tcPr>
          <w:p>
            <w:r>
              <w:rPr>
                <w:sz w:val="20"/>
              </w:rPr>
              <w:t>Validations IAM</w:t>
            </w:r>
          </w:p>
        </w:tc>
      </w:tr>
      <w:tr>
        <w:tc>
          <w:tcPr>
            <w:tcW w:type="dxa" w:w="2436"/>
            <w:vAlign w:val="center"/>
          </w:tcPr>
          <w:p>
            <w:r>
              <w:rPr>
                <w:sz w:val="20"/>
              </w:rPr>
              <w:t>Comptes de service</w:t>
            </w:r>
          </w:p>
        </w:tc>
        <w:tc>
          <w:tcPr>
            <w:tcW w:type="dxa" w:w="2436"/>
            <w:vAlign w:val="center"/>
          </w:tcPr>
          <w:p>
            <w:r>
              <w:rPr>
                <w:sz w:val="20"/>
              </w:rPr>
              <w:t>Annuelle</w:t>
            </w:r>
          </w:p>
        </w:tc>
        <w:tc>
          <w:tcPr>
            <w:tcW w:type="dxa" w:w="2436"/>
            <w:vAlign w:val="center"/>
          </w:tcPr>
          <w:p>
            <w:r>
              <w:rPr>
                <w:sz w:val="20"/>
              </w:rPr>
              <w:t>DSI + RSSI</w:t>
            </w:r>
          </w:p>
        </w:tc>
        <w:tc>
          <w:tcPr>
            <w:tcW w:type="dxa" w:w="2436"/>
            <w:vAlign w:val="center"/>
          </w:tcPr>
          <w:p>
            <w:r>
              <w:rPr>
                <w:sz w:val="20"/>
              </w:rPr>
              <w:t>Inventaire + justification</w:t>
            </w:r>
          </w:p>
        </w:tc>
      </w:tr>
      <w:tr>
        <w:tc>
          <w:tcPr>
            <w:tcW w:type="dxa" w:w="2436"/>
            <w:vAlign w:val="center"/>
          </w:tcPr>
          <w:p>
            <w:r>
              <w:rPr>
                <w:sz w:val="20"/>
              </w:rPr>
              <w:t>Accès partenaires/prestataires</w:t>
            </w:r>
          </w:p>
        </w:tc>
        <w:tc>
          <w:tcPr>
            <w:tcW w:type="dxa" w:w="2436"/>
            <w:vAlign w:val="center"/>
          </w:tcPr>
          <w:p>
            <w:r>
              <w:rPr>
                <w:sz w:val="20"/>
              </w:rPr>
              <w:t>À chaque renouvellement</w:t>
            </w:r>
          </w:p>
        </w:tc>
        <w:tc>
          <w:tcPr>
            <w:tcW w:type="dxa" w:w="2436"/>
            <w:vAlign w:val="center"/>
          </w:tcPr>
          <w:p>
            <w:r>
              <w:rPr>
                <w:sz w:val="20"/>
              </w:rPr>
              <w:t>RSSI</w:t>
            </w:r>
          </w:p>
        </w:tc>
        <w:tc>
          <w:tcPr>
            <w:tcW w:type="dxa" w:w="2436"/>
            <w:vAlign w:val="center"/>
          </w:tcPr>
          <w:p>
            <w:r>
              <w:rPr>
                <w:sz w:val="20"/>
              </w:rPr>
              <w:t>Avenant contrat</w:t>
            </w:r>
          </w:p>
        </w:tc>
      </w:tr>
    </w:tbl>
    <w:p>
      <w:pPr>
        <w:spacing w:before="360" w:after="160"/>
        <w:pBdr>
          <w:bottom w:val="single" w:sz="8" w:space="1" w:color="1F4E79"/>
        </w:pBdr>
      </w:pPr>
      <w:r>
        <w:rPr>
          <w:b/>
          <w:color w:val="0B2545"/>
          <w:sz w:val="36"/>
        </w:rPr>
        <w:t>8. Journalisation et surveillance</w:t>
      </w:r>
    </w:p>
    <w:p>
      <w:pPr>
        <w:spacing w:line="312" w:lineRule="auto"/>
        <w:jc w:val="both"/>
      </w:pPr>
      <w:r>
        <w:t>Tous les événements d'authentification et d'autorisation sont journalisés et centralisés dans le SIEM, avec rétention de 12 mois minimum (24 mois pour les comptes à privilèges). Les événements suivants déclenchent une alerte automatique :</w:t>
      </w:r>
    </w:p>
    <w:p>
      <w:pPr>
        <w:pStyle w:val="ListBullet"/>
        <w:spacing w:after="40"/>
      </w:pPr>
      <w:r>
        <w:t>Échecs d'authentification répétés (≥ 5 en 5 minutes).</w:t>
      </w:r>
    </w:p>
    <w:p>
      <w:pPr>
        <w:pStyle w:val="ListBullet"/>
        <w:spacing w:after="40"/>
      </w:pPr>
      <w:r>
        <w:t>Authentification depuis une géolocalisation inhabituelle (impossible travel).</w:t>
      </w:r>
    </w:p>
    <w:p>
      <w:pPr>
        <w:pStyle w:val="ListBullet"/>
        <w:spacing w:after="40"/>
      </w:pPr>
      <w:r>
        <w:t>Activité d'un compte à privilège en dehors des plages horaires de travail.</w:t>
      </w:r>
    </w:p>
    <w:p>
      <w:pPr>
        <w:pStyle w:val="ListBullet"/>
        <w:spacing w:after="40"/>
      </w:pPr>
      <w:r>
        <w:t>Désactivation du MFA ou ajout d'un facteur d'authentification.</w:t>
      </w:r>
    </w:p>
    <w:p>
      <w:pPr>
        <w:pStyle w:val="ListBullet"/>
        <w:spacing w:after="40"/>
      </w:pPr>
      <w:r>
        <w:t>Tentative d'élévation de privilèges non approuvée.</w:t>
      </w:r>
    </w:p>
    <w:p>
      <w:pPr>
        <w:spacing w:before="360" w:after="160"/>
        <w:pBdr>
          <w:bottom w:val="single" w:sz="8" w:space="1" w:color="1F4E79"/>
        </w:pBdr>
      </w:pPr>
      <w:r>
        <w:rPr>
          <w:b/>
          <w:color w:val="0B2545"/>
          <w:sz w:val="36"/>
        </w:rPr>
        <w:t>9. Rôles et responsabilités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4873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Rôle</w:t>
            </w:r>
          </w:p>
        </w:tc>
        <w:tc>
          <w:tcPr>
            <w:tcW w:type="dxa" w:w="4873"/>
            <w:shd w:val="clear" w:color="auto" w:fill="1F4E79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Responsabilités</w:t>
            </w:r>
          </w:p>
        </w:tc>
      </w:tr>
      <w:tr>
        <w:tc>
          <w:tcPr>
            <w:tcW w:type="dxa" w:w="4873"/>
            <w:vAlign w:val="center"/>
          </w:tcPr>
          <w:p>
            <w:r>
              <w:rPr>
                <w:sz w:val="20"/>
              </w:rPr>
              <w:t>RSSI</w:t>
            </w:r>
          </w:p>
        </w:tc>
        <w:tc>
          <w:tcPr>
            <w:tcW w:type="dxa" w:w="4873"/>
            <w:vAlign w:val="center"/>
          </w:tcPr>
          <w:p>
            <w:r>
              <w:rPr>
                <w:sz w:val="20"/>
              </w:rPr>
              <w:t>Définit la politique, valide les exceptions, supervise les revues</w:t>
            </w:r>
          </w:p>
        </w:tc>
      </w:tr>
      <w:tr>
        <w:tc>
          <w:tcPr>
            <w:tcW w:type="dxa" w:w="4873"/>
            <w:vAlign w:val="center"/>
          </w:tcPr>
          <w:p>
            <w:r>
              <w:rPr>
                <w:sz w:val="20"/>
              </w:rPr>
              <w:t>DSI</w:t>
            </w:r>
          </w:p>
        </w:tc>
        <w:tc>
          <w:tcPr>
            <w:tcW w:type="dxa" w:w="4873"/>
            <w:vAlign w:val="center"/>
          </w:tcPr>
          <w:p>
            <w:r>
              <w:rPr>
                <w:sz w:val="20"/>
              </w:rPr>
              <w:t>Met en œuvre techniquement la politique</w:t>
            </w:r>
          </w:p>
        </w:tc>
      </w:tr>
      <w:tr>
        <w:tc>
          <w:tcPr>
            <w:tcW w:type="dxa" w:w="4873"/>
            <w:vAlign w:val="center"/>
          </w:tcPr>
          <w:p>
            <w:r>
              <w:rPr>
                <w:sz w:val="20"/>
              </w:rPr>
              <w:t>Managers</w:t>
            </w:r>
          </w:p>
        </w:tc>
        <w:tc>
          <w:tcPr>
            <w:tcW w:type="dxa" w:w="4873"/>
            <w:vAlign w:val="center"/>
          </w:tcPr>
          <w:p>
            <w:r>
              <w:rPr>
                <w:sz w:val="20"/>
              </w:rPr>
              <w:t>Définissent les besoins, valident les arrivées/mobilités/départs</w:t>
            </w:r>
          </w:p>
        </w:tc>
      </w:tr>
      <w:tr>
        <w:tc>
          <w:tcPr>
            <w:tcW w:type="dxa" w:w="4873"/>
            <w:vAlign w:val="center"/>
          </w:tcPr>
          <w:p>
            <w:r>
              <w:rPr>
                <w:sz w:val="20"/>
              </w:rPr>
              <w:t>DPO</w:t>
            </w:r>
          </w:p>
        </w:tc>
        <w:tc>
          <w:tcPr>
            <w:tcW w:type="dxa" w:w="4873"/>
            <w:vAlign w:val="center"/>
          </w:tcPr>
          <w:p>
            <w:r>
              <w:rPr>
                <w:sz w:val="20"/>
              </w:rPr>
              <w:t>Veille à la conformité RGPD (minimisation, durées de conservation)</w:t>
            </w:r>
          </w:p>
        </w:tc>
      </w:tr>
      <w:tr>
        <w:tc>
          <w:tcPr>
            <w:tcW w:type="dxa" w:w="4873"/>
            <w:vAlign w:val="center"/>
          </w:tcPr>
          <w:p>
            <w:r>
              <w:rPr>
                <w:sz w:val="20"/>
              </w:rPr>
              <w:t>Utilisateurs</w:t>
            </w:r>
          </w:p>
        </w:tc>
        <w:tc>
          <w:tcPr>
            <w:tcW w:type="dxa" w:w="4873"/>
            <w:vAlign w:val="center"/>
          </w:tcPr>
          <w:p>
            <w:r>
              <w:rPr>
                <w:sz w:val="20"/>
              </w:rPr>
              <w:t>Respectent la politique, signalent les anomalies</w:t>
            </w:r>
          </w:p>
        </w:tc>
      </w:tr>
    </w:tbl>
    <w:p>
      <w:pPr>
        <w:spacing w:before="360" w:after="160"/>
        <w:pBdr>
          <w:bottom w:val="single" w:sz="8" w:space="1" w:color="1F4E79"/>
        </w:pBdr>
      </w:pPr>
      <w:r>
        <w:rPr>
          <w:b/>
          <w:color w:val="0B2545"/>
          <w:sz w:val="36"/>
        </w:rPr>
        <w:t>10. Indicateurs et conformité</w:t>
      </w:r>
    </w:p>
    <w:p>
      <w:pPr>
        <w:pStyle w:val="ListBullet"/>
        <w:spacing w:after="40"/>
      </w:pPr>
      <w:r>
        <w:t>% comptes à privilèges avec MFA actif (cible : 100%)</w:t>
      </w:r>
    </w:p>
    <w:p>
      <w:pPr>
        <w:pStyle w:val="ListBullet"/>
        <w:spacing w:after="40"/>
      </w:pPr>
      <w:r>
        <w:t>% revues d'accès effectuées dans les délais (cible : 100%)</w:t>
      </w:r>
    </w:p>
    <w:p>
      <w:pPr>
        <w:pStyle w:val="ListBullet"/>
        <w:spacing w:after="40"/>
      </w:pPr>
      <w:r>
        <w:t>Délai moyen de désactivation post-départ (cible : ≤ 1h)</w:t>
      </w:r>
    </w:p>
    <w:p>
      <w:pPr>
        <w:pStyle w:val="ListBullet"/>
        <w:spacing w:after="40"/>
      </w:pPr>
      <w:r>
        <w:t>% écarts détectés et résolus &lt; 14 j (cible : ≥ 95%)</w:t>
      </w:r>
    </w:p>
    <w:p>
      <w:pPr>
        <w:pStyle w:val="ListBullet"/>
        <w:spacing w:after="40"/>
      </w:pPr>
      <w:r>
        <w:t>Nombre d'incidents liés aux accès logiques (suivi mensuel)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tblLook w:firstColumn="1" w:firstRow="1" w:lastColumn="0" w:lastRow="0" w:noHBand="0" w:noVBand="1" w:val="04A0"/>
    </w:tblPr>
    <w:tblGrid>
      <w:gridCol w:w="3213"/>
      <w:gridCol w:w="3213"/>
      <w:gridCol w:w="3213"/>
    </w:tblGrid>
    <w:tr>
      <w:tc>
        <w:tcPr>
          <w:tcW w:type="dxa" w:w="3213"/>
        </w:tcPr>
        <w:p>
          <w:r>
            <w:rPr>
              <w:color w:val="595959"/>
              <w:sz w:val="16"/>
            </w:rPr>
            <w:t>© Ayinedjimi Consultants — ayinedjimi-consultants.fr</w:t>
          </w:r>
        </w:p>
      </w:tc>
      <w:tc>
        <w:tcPr>
          <w:tcW w:type="dxa" w:w="3213"/>
        </w:tcPr>
        <w:p>
          <w:pPr>
            <w:jc w:val="center"/>
          </w:pPr>
          <w:r>
            <w:rPr>
              <w:color w:val="595959"/>
              <w:sz w:val="16"/>
            </w:rPr>
            <w:t>Document confidentiel — Usage interne</w:t>
          </w:r>
        </w:p>
      </w:tc>
      <w:tc>
        <w:tcPr>
          <w:tcW w:type="dxa" w:w="3213"/>
        </w:tcPr>
        <w:p>
          <w:pPr>
            <w:jc w:val="right"/>
          </w:pPr>
          <w:r>
            <w:rPr>
              <w:color w:val="595959"/>
              <w:sz w:val="16"/>
            </w:rPr>
            <w:t xml:space="preserve">Page </w:t>
            <w:fldSimple w:instr="PAGE \* MERGEFORMAT">
              <w:r>
                <w:t>1</w:t>
              </w:r>
            </w:fldSimple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ayout w:type="autofit"/>
      <w:tblLook w:firstColumn="1" w:firstRow="1" w:lastColumn="0" w:lastRow="0" w:noHBand="0" w:noVBand="1" w:val="04A0"/>
    </w:tblPr>
    <w:tblGrid>
      <w:gridCol w:w="4819"/>
      <w:gridCol w:w="4819"/>
    </w:tblGrid>
    <w:tr>
      <w:tc>
        <w:tcPr>
          <w:tcW w:type="dxa" w:w="4819"/>
        </w:tcPr>
        <w:p>
          <w:pPr>
            <w:jc w:val="left"/>
          </w:pPr>
          <w:r>
            <w:rPr>
              <w:color w:val="595959"/>
              <w:sz w:val="18"/>
            </w:rPr>
            <w:t>ayinedjimi-consultants.fr</w:t>
          </w:r>
        </w:p>
      </w:tc>
      <w:tc>
        <w:tcPr>
          <w:tcW w:type="dxa" w:w="4819"/>
        </w:tcPr>
        <w:p>
          <w:pPr>
            <w:jc w:val="right"/>
          </w:pPr>
          <w:r>
            <w:rPr>
              <w:color w:val="595959"/>
              <w:sz w:val="18"/>
            </w:rPr>
            <w:t>ISO/IEC 27001:2022 — Template Gratuit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