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C9A961"/>
          <w:sz w:val="28"/>
        </w:rPr>
        <w:t>ISO/IEC 27001:2022</w:t>
      </w:r>
    </w:p>
    <w:p>
      <w:pPr>
        <w:spacing w:before="400"/>
        <w:jc w:val="center"/>
      </w:pPr>
      <w:r>
        <w:rPr>
          <w:b/>
          <w:color w:val="1F3A5F"/>
          <w:sz w:val="48"/>
        </w:rPr>
        <w:t>Politique DLP — Prévention de la fuite de données</w:t>
      </w:r>
    </w:p>
    <w:p>
      <w:pPr>
        <w:jc w:val="center"/>
      </w:pPr>
      <w:r>
        <w:rPr>
          <w:i/>
          <w:color w:val="555555"/>
          <w:sz w:val="26"/>
        </w:rPr>
        <w:t>Endpoint, réseau, cloud — DLP/CASB et règles d'exfiltration</w:t>
      </w:r>
    </w:p>
    <w:tbl>
      <w:tblPr>
        <w:tblW w:type="auto" w:w="0"/>
        <w:jc w:val="center"/>
        <w:tblLook w:firstColumn="1" w:firstRow="1" w:lastColumn="0" w:lastRow="0" w:noHBand="0" w:noVBand="1" w:val="04A0"/>
      </w:tblPr>
      <w:tblGrid>
        <w:gridCol w:w="3118"/>
        <w:gridCol w:w="4535"/>
      </w:tblGrid>
      <w:tr>
        <w:tc>
          <w:tcPr>
            <w:tcW w:type="dxa" w:w="4986"/>
            <w:shd w:fill="F4F1EA" w:val="clear"/>
            <w:tcBorders>
              <w:top w:val="single" w:sz="6" w:color="999999"/>
              <w:left w:val="single" w:sz="6" w:color="999999"/>
              <w:bottom w:val="single" w:sz="6" w:color="999999"/>
              <w:right w:val="single" w:sz="6" w:color="999999"/>
            </w:tcBorders>
          </w:tcPr>
          <w:p>
            <w:r>
              <w:rPr>
                <w:b/>
                <w:sz w:val="20"/>
              </w:rPr>
              <w:t>Référence document</w:t>
            </w:r>
          </w:p>
        </w:tc>
        <w:tc>
          <w:tcPr>
            <w:tcW w:type="dxa" w:w="4986"/>
            <w:tcBorders>
              <w:top w:val="single" w:sz="6" w:color="999999"/>
              <w:left w:val="single" w:sz="6" w:color="999999"/>
              <w:bottom w:val="single" w:sz="6" w:color="999999"/>
              <w:right w:val="single" w:sz="6" w:color="999999"/>
            </w:tcBorders>
          </w:tcPr>
          <w:p>
            <w:r>
              <w:rPr>
                <w:sz w:val="20"/>
              </w:rPr>
              <w:t>POL-SMSI-DLP-001</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Version</w:t>
            </w:r>
          </w:p>
        </w:tc>
        <w:tc>
          <w:tcPr>
            <w:tcW w:type="dxa" w:w="4986"/>
            <w:tcBorders>
              <w:top w:val="single" w:sz="6" w:color="999999"/>
              <w:left w:val="single" w:sz="6" w:color="999999"/>
              <w:bottom w:val="single" w:sz="6" w:color="999999"/>
              <w:right w:val="single" w:sz="6" w:color="999999"/>
            </w:tcBorders>
          </w:tcPr>
          <w:p>
            <w:r>
              <w:rPr>
                <w:sz w:val="20"/>
              </w:rPr>
              <w:t>1.0</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Date de publication</w:t>
            </w:r>
          </w:p>
        </w:tc>
        <w:tc>
          <w:tcPr>
            <w:tcW w:type="dxa" w:w="4986"/>
            <w:tcBorders>
              <w:top w:val="single" w:sz="6" w:color="999999"/>
              <w:left w:val="single" w:sz="6" w:color="999999"/>
              <w:bottom w:val="single" w:sz="6" w:color="999999"/>
              <w:right w:val="single" w:sz="6" w:color="999999"/>
            </w:tcBorders>
          </w:tcPr>
          <w:p>
            <w:r>
              <w:rPr>
                <w:sz w:val="20"/>
              </w:rPr>
              <w:t>15/05/2026</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Statut</w:t>
            </w:r>
          </w:p>
        </w:tc>
        <w:tc>
          <w:tcPr>
            <w:tcW w:type="dxa" w:w="4986"/>
            <w:tcBorders>
              <w:top w:val="single" w:sz="6" w:color="999999"/>
              <w:left w:val="single" w:sz="6" w:color="999999"/>
              <w:bottom w:val="single" w:sz="6" w:color="999999"/>
              <w:right w:val="single" w:sz="6" w:color="999999"/>
            </w:tcBorders>
          </w:tcPr>
          <w:p>
            <w:r>
              <w:rPr>
                <w:sz w:val="20"/>
              </w:rPr>
              <w:t>Modèle — à adapter au contexte</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Diffusion</w:t>
            </w:r>
          </w:p>
        </w:tc>
        <w:tc>
          <w:tcPr>
            <w:tcW w:type="dxa" w:w="4986"/>
            <w:tcBorders>
              <w:top w:val="single" w:sz="6" w:color="999999"/>
              <w:left w:val="single" w:sz="6" w:color="999999"/>
              <w:bottom w:val="single" w:sz="6" w:color="999999"/>
              <w:right w:val="single" w:sz="6" w:color="999999"/>
            </w:tcBorders>
          </w:tcPr>
          <w:p>
            <w:r>
              <w:rPr>
                <w:sz w:val="20"/>
              </w:rPr>
              <w:t>Usage interne — Confidentiel C2</w:t>
            </w:r>
          </w:p>
        </w:tc>
      </w:tr>
    </w:tbl>
    <w:p>
      <w:pPr>
        <w:spacing w:before="600"/>
        <w:jc w:val="both"/>
      </w:pPr>
      <w:r>
        <w:rPr>
          <w:i/>
          <w:color w:val="555555"/>
          <w:sz w:val="18"/>
        </w:rPr>
        <w:t>Ce modèle est fourni gratuitement par ayinedjimi-consultants.fr à des fins pédagogiques et de support à la mise en conformité ISO/IEC 27001:2022. Il doit être adapté au contexte, au périmètre et aux exigences spécifiques de l'organisme utilisateur. La responsabilité de la conformité finale incombe à l'utilisateur. Toute reproduction commerciale est interdite.</w:t>
      </w:r>
    </w:p>
    <w:p>
      <w:r>
        <w:br w:type="page"/>
      </w:r>
    </w:p>
    <w:p>
      <w:pPr>
        <w:spacing w:after="240"/>
      </w:pPr>
      <w:r>
        <w:rPr>
          <w:b/>
          <w:color w:val="1F3A5F"/>
          <w:sz w:val="36"/>
        </w:rPr>
        <w:t>Sommaire</w:t>
      </w:r>
    </w:p>
    <w:p>
      <w:pPr>
        <w:ind w:left="0"/>
      </w:pPr>
      <w:r>
        <w:rPr>
          <w:b/>
          <w:color w:val="1F3A5F"/>
          <w:sz w:val="22"/>
        </w:rPr>
        <w:t>1  Objet et périmètre</w:t>
      </w:r>
    </w:p>
    <w:p>
      <w:pPr>
        <w:ind w:left="0"/>
      </w:pPr>
      <w:r>
        <w:rPr>
          <w:b/>
          <w:color w:val="1F3A5F"/>
          <w:sz w:val="22"/>
        </w:rPr>
        <w:t>2  Références</w:t>
      </w:r>
    </w:p>
    <w:p>
      <w:pPr>
        <w:ind w:left="0"/>
      </w:pPr>
      <w:r>
        <w:rPr>
          <w:b/>
          <w:color w:val="1F3A5F"/>
          <w:sz w:val="22"/>
        </w:rPr>
        <w:t>3  Principes directeurs</w:t>
      </w:r>
    </w:p>
    <w:p>
      <w:pPr>
        <w:ind w:left="0"/>
      </w:pPr>
      <w:r>
        <w:rPr>
          <w:b/>
          <w:color w:val="1F3A5F"/>
          <w:sz w:val="22"/>
        </w:rPr>
        <w:t>4  Architecture DLP cible</w:t>
      </w:r>
    </w:p>
    <w:p>
      <w:pPr>
        <w:ind w:left="283"/>
      </w:pPr>
      <w:r>
        <w:rPr>
          <w:sz w:val="22"/>
        </w:rPr>
        <w:t>4.1  DLP endpoint</w:t>
      </w:r>
    </w:p>
    <w:p>
      <w:pPr>
        <w:ind w:left="283"/>
      </w:pPr>
      <w:r>
        <w:rPr>
          <w:sz w:val="22"/>
        </w:rPr>
        <w:t>4.2  DLP réseau</w:t>
      </w:r>
    </w:p>
    <w:p>
      <w:pPr>
        <w:ind w:left="283"/>
      </w:pPr>
      <w:r>
        <w:rPr>
          <w:sz w:val="22"/>
        </w:rPr>
        <w:t>4.3  DLP cloud (CASB)</w:t>
      </w:r>
    </w:p>
    <w:p>
      <w:pPr>
        <w:ind w:left="0"/>
      </w:pPr>
      <w:r>
        <w:rPr>
          <w:b/>
          <w:color w:val="1F3A5F"/>
          <w:sz w:val="22"/>
        </w:rPr>
        <w:t>5  Règles de détection par type de données</w:t>
      </w:r>
    </w:p>
    <w:p>
      <w:pPr>
        <w:ind w:left="283"/>
      </w:pPr>
      <w:r>
        <w:rPr>
          <w:sz w:val="22"/>
        </w:rPr>
        <w:t>5.1  Données personnelles (RGPD)</w:t>
      </w:r>
    </w:p>
    <w:p>
      <w:pPr>
        <w:ind w:left="283"/>
      </w:pPr>
      <w:r>
        <w:rPr>
          <w:sz w:val="22"/>
        </w:rPr>
        <w:t>5.2  Données financières et bancaires</w:t>
      </w:r>
    </w:p>
    <w:p>
      <w:pPr>
        <w:ind w:left="283"/>
      </w:pPr>
      <w:r>
        <w:rPr>
          <w:sz w:val="22"/>
        </w:rPr>
        <w:t>5.3  Secrets et propriété intellectuelle</w:t>
      </w:r>
    </w:p>
    <w:p>
      <w:pPr>
        <w:ind w:left="0"/>
      </w:pPr>
      <w:r>
        <w:rPr>
          <w:b/>
          <w:color w:val="1F3A5F"/>
          <w:sz w:val="22"/>
        </w:rPr>
        <w:t>6  Workflow d'alerte et de remédiation</w:t>
      </w:r>
    </w:p>
    <w:p>
      <w:pPr>
        <w:ind w:left="0"/>
      </w:pPr>
      <w:r>
        <w:rPr>
          <w:b/>
          <w:color w:val="1F3A5F"/>
          <w:sz w:val="22"/>
        </w:rPr>
        <w:t>7  Tests d'exfiltration</w:t>
      </w:r>
    </w:p>
    <w:p>
      <w:pPr>
        <w:ind w:left="0"/>
      </w:pPr>
      <w:r>
        <w:rPr>
          <w:b/>
          <w:color w:val="1F3A5F"/>
          <w:sz w:val="22"/>
        </w:rPr>
        <w:t>8  Conformité légale</w:t>
      </w:r>
    </w:p>
    <w:p>
      <w:pPr>
        <w:ind w:left="0"/>
      </w:pPr>
      <w:r>
        <w:rPr>
          <w:b/>
          <w:color w:val="1F3A5F"/>
          <w:sz w:val="22"/>
        </w:rPr>
        <w:t>9  Indicateurs et reporting</w:t>
      </w:r>
    </w:p>
    <w:p>
      <w:pPr>
        <w:ind w:left="0"/>
      </w:pPr>
      <w:r>
        <w:rPr>
          <w:b/>
          <w:color w:val="1F3A5F"/>
          <w:sz w:val="22"/>
        </w:rPr>
        <w:t>10  Rôles et responsabilités</w:t>
      </w:r>
    </w:p>
    <w:p>
      <w:pPr>
        <w:ind w:left="0"/>
      </w:pPr>
      <w:r>
        <w:rPr>
          <w:b/>
          <w:color w:val="1F3A5F"/>
          <w:sz w:val="22"/>
        </w:rPr>
        <w:t>11  Revue et amélioration</w:t>
      </w:r>
    </w:p>
    <w:p>
      <w:pPr>
        <w:ind w:left="0"/>
      </w:pPr>
      <w:r>
        <w:rPr>
          <w:b/>
          <w:color w:val="1F3A5F"/>
          <w:sz w:val="22"/>
        </w:rPr>
        <w:t>12  Validation et signatures</w:t>
      </w:r>
    </w:p>
    <w:p>
      <w:r>
        <w:br w:type="page"/>
      </w:r>
    </w:p>
    <w:p>
      <w:pPr>
        <w:keepNext/>
        <w:spacing w:before="360" w:after="160"/>
        <w:pBdr>
          <w:bottom w:val="single" w:sz="6" w:color="C9A961"/>
        </w:pBdr>
      </w:pPr>
      <w:r>
        <w:rPr>
          <w:b/>
          <w:color w:val="1F3A5F"/>
          <w:sz w:val="32"/>
        </w:rPr>
        <w:t>1  Objet et périmètre</w:t>
      </w:r>
    </w:p>
    <w:p>
      <w:pPr>
        <w:jc w:val="both"/>
      </w:pPr>
      <w:r>
        <w:rPr>
          <w:b w:val="0"/>
          <w:i w:val="0"/>
          <w:sz w:val="22"/>
        </w:rPr>
        <w:t>La présente politique encadre la prévention de la fuite de données sensibles (Data Leakage Prevention, DLP). Elle complète et applique les contrôles A.5.10 (Acceptable use), A.8.3 (Restrictions accès information), A.8.10 (Effacement), A.8.11 (Masquage), A.8.12 (Prévention de fuite) de la norme ISO/IEC 27001:2022. Elle couvre les vecteurs de fuite endpoint, réseau et cloud.</w:t>
      </w:r>
    </w:p>
    <w:p>
      <w:pPr>
        <w:keepNext/>
        <w:spacing w:before="360" w:after="160"/>
        <w:pBdr>
          <w:bottom w:val="single" w:sz="6" w:color="C9A961"/>
        </w:pBdr>
      </w:pPr>
      <w:r>
        <w:rPr>
          <w:b/>
          <w:color w:val="1F3A5F"/>
          <w:sz w:val="32"/>
        </w:rPr>
        <w:t>2  Références</w:t>
      </w:r>
    </w:p>
    <w:p>
      <w:pPr>
        <w:pStyle w:val="ListBullet"/>
        <w:ind w:left="283"/>
      </w:pPr>
      <w:r/>
      <w:r>
        <w:rPr>
          <w:sz w:val="22"/>
        </w:rPr>
        <w:t>ISO/IEC 27001:2022 — Annexe A.8.12 Prévention de la fuite d'informations</w:t>
      </w:r>
    </w:p>
    <w:p>
      <w:pPr>
        <w:pStyle w:val="ListBullet"/>
        <w:ind w:left="283"/>
      </w:pPr>
      <w:r/>
      <w:r>
        <w:rPr>
          <w:sz w:val="22"/>
        </w:rPr>
        <w:t>ISO/IEC 27002:2022 — Mesures 8.10 / 8.11 / 8.12</w:t>
      </w:r>
    </w:p>
    <w:p>
      <w:pPr>
        <w:pStyle w:val="ListBullet"/>
        <w:ind w:left="283"/>
      </w:pPr>
      <w:r/>
      <w:r>
        <w:rPr>
          <w:sz w:val="22"/>
        </w:rPr>
        <w:t>RGPD — articles 5, 32, 33, 34</w:t>
      </w:r>
    </w:p>
    <w:p>
      <w:pPr>
        <w:pStyle w:val="ListBullet"/>
        <w:ind w:left="283"/>
      </w:pPr>
      <w:r/>
      <w:r>
        <w:rPr>
          <w:sz w:val="22"/>
        </w:rPr>
        <w:t>Politique de classification de l'information (réf. POL-SMSI-CLA-001)</w:t>
      </w:r>
    </w:p>
    <w:p>
      <w:pPr>
        <w:pStyle w:val="ListBullet"/>
        <w:ind w:left="283"/>
      </w:pPr>
      <w:r/>
      <w:r>
        <w:rPr>
          <w:sz w:val="22"/>
        </w:rPr>
        <w:t>Politique de transfert d'information (réf. POL-SMSI-TRF-001)</w:t>
      </w:r>
    </w:p>
    <w:p>
      <w:pPr>
        <w:pStyle w:val="ListBullet"/>
        <w:ind w:left="283"/>
      </w:pPr>
      <w:r/>
      <w:r>
        <w:rPr>
          <w:sz w:val="22"/>
        </w:rPr>
        <w:t>Charte d'usage du SI (réf. CHA-SI-001)</w:t>
      </w:r>
    </w:p>
    <w:p>
      <w:pPr>
        <w:keepNext/>
        <w:spacing w:before="360" w:after="160"/>
        <w:pBdr>
          <w:bottom w:val="single" w:sz="6" w:color="C9A961"/>
        </w:pBdr>
      </w:pPr>
      <w:r>
        <w:rPr>
          <w:b/>
          <w:color w:val="1F3A5F"/>
          <w:sz w:val="32"/>
        </w:rPr>
        <w:t>3  Principes directeurs</w:t>
      </w:r>
    </w:p>
    <w:p>
      <w:pPr>
        <w:pStyle w:val="ListBullet"/>
        <w:ind w:left="283"/>
      </w:pPr>
      <w:r/>
      <w:r>
        <w:rPr>
          <w:sz w:val="22"/>
        </w:rPr>
        <w:t>Approche en couches : détection à l'endpoint, sur le réseau, dans le cloud</w:t>
      </w:r>
    </w:p>
    <w:p>
      <w:pPr>
        <w:pStyle w:val="ListBullet"/>
        <w:ind w:left="283"/>
      </w:pPr>
      <w:r/>
      <w:r>
        <w:rPr>
          <w:sz w:val="22"/>
        </w:rPr>
        <w:t>Bloquage privilégié pour C3, alerte et journalisation pour C2, monitoring pour C1</w:t>
      </w:r>
    </w:p>
    <w:p>
      <w:pPr>
        <w:pStyle w:val="ListBullet"/>
        <w:ind w:left="283"/>
      </w:pPr>
      <w:r/>
      <w:r>
        <w:rPr>
          <w:sz w:val="22"/>
        </w:rPr>
        <w:t>Minimum de friction utilisateur : sensibilisation contextuelle avant blocage strict</w:t>
      </w:r>
    </w:p>
    <w:p>
      <w:pPr>
        <w:pStyle w:val="ListBullet"/>
        <w:ind w:left="283"/>
      </w:pPr>
      <w:r/>
      <w:r>
        <w:rPr>
          <w:sz w:val="22"/>
        </w:rPr>
        <w:t>Réponse proportionnée : nudge, alerte, blocage, escalade selon contexte</w:t>
      </w:r>
    </w:p>
    <w:p>
      <w:pPr>
        <w:pStyle w:val="ListBullet"/>
        <w:ind w:left="283"/>
      </w:pPr>
      <w:r/>
      <w:r>
        <w:rPr>
          <w:sz w:val="22"/>
        </w:rPr>
        <w:t>Transparence : information préalable des collaborateurs et CSE</w:t>
      </w:r>
    </w:p>
    <w:p>
      <w:pPr>
        <w:keepNext/>
        <w:spacing w:before="360" w:after="160"/>
        <w:pBdr>
          <w:bottom w:val="single" w:sz="6" w:color="C9A961"/>
        </w:pBdr>
      </w:pPr>
      <w:r>
        <w:rPr>
          <w:b/>
          <w:color w:val="1F3A5F"/>
          <w:sz w:val="32"/>
        </w:rPr>
        <w:t>4  Architecture DLP cible</w:t>
      </w:r>
    </w:p>
    <w:p>
      <w:pPr>
        <w:keepNext/>
        <w:spacing w:before="280" w:after="120"/>
      </w:pPr>
      <w:r>
        <w:rPr>
          <w:b/>
          <w:color w:val="1F3A5F"/>
          <w:sz w:val="26"/>
        </w:rPr>
        <w:t>4.1  DLP endpoint</w:t>
      </w:r>
    </w:p>
    <w:p>
      <w:pPr>
        <w:pStyle w:val="ListBullet"/>
        <w:ind w:left="283"/>
      </w:pPr>
      <w:r/>
      <w:r>
        <w:rPr>
          <w:sz w:val="22"/>
        </w:rPr>
        <w:t>Solution cible : Microsoft Purview Endpoint DLP ou Symantec DLP</w:t>
      </w:r>
    </w:p>
    <w:p>
      <w:pPr>
        <w:pStyle w:val="ListBullet"/>
        <w:ind w:left="283"/>
      </w:pPr>
      <w:r/>
      <w:r>
        <w:rPr>
          <w:sz w:val="22"/>
        </w:rPr>
        <w:t>Couverture : 100% postes utilisateurs Windows / macOS, 50% Linux (selon besoin)</w:t>
      </w:r>
    </w:p>
    <w:p>
      <w:pPr>
        <w:pStyle w:val="ListBullet"/>
        <w:ind w:left="283"/>
      </w:pPr>
      <w:r/>
      <w:r>
        <w:rPr>
          <w:sz w:val="22"/>
        </w:rPr>
        <w:t>Vecteurs surveillés : copie USB, impression, presse-papier vers app non autorisée, partage cloud</w:t>
      </w:r>
    </w:p>
    <w:p>
      <w:pPr>
        <w:pStyle w:val="ListBullet"/>
        <w:ind w:left="283"/>
      </w:pPr>
      <w:r/>
      <w:r>
        <w:rPr>
          <w:sz w:val="22"/>
        </w:rPr>
        <w:t>Sensibilisation contextuelle : pop-up explicatif avant action sensible (justify on warn)</w:t>
      </w:r>
    </w:p>
    <w:p>
      <w:pPr>
        <w:keepNext/>
        <w:spacing w:before="280" w:after="120"/>
      </w:pPr>
      <w:r>
        <w:rPr>
          <w:b/>
          <w:color w:val="1F3A5F"/>
          <w:sz w:val="26"/>
        </w:rPr>
        <w:t>4.2  DLP réseau</w:t>
      </w:r>
    </w:p>
    <w:p>
      <w:pPr>
        <w:pStyle w:val="ListBullet"/>
        <w:ind w:left="283"/>
      </w:pPr>
      <w:r/>
      <w:r>
        <w:rPr>
          <w:sz w:val="22"/>
        </w:rPr>
        <w:t>Inspection SSL/TLS sortante via proxy (Zscaler, Netskope, Forcepoint)</w:t>
      </w:r>
    </w:p>
    <w:p>
      <w:pPr>
        <w:pStyle w:val="ListBullet"/>
        <w:ind w:left="283"/>
      </w:pPr>
      <w:r/>
      <w:r>
        <w:rPr>
          <w:sz w:val="22"/>
        </w:rPr>
        <w:t>Détection sur mail : Microsoft Purview Email DLP, Proofpoint, Vade</w:t>
      </w:r>
    </w:p>
    <w:p>
      <w:pPr>
        <w:pStyle w:val="ListBullet"/>
        <w:ind w:left="283"/>
      </w:pPr>
      <w:r/>
      <w:r>
        <w:rPr>
          <w:sz w:val="22"/>
        </w:rPr>
        <w:t>Détection sur upload web : sites de stockage non autorisés, formulaires suspects</w:t>
      </w:r>
    </w:p>
    <w:p>
      <w:pPr>
        <w:pStyle w:val="ListBullet"/>
        <w:ind w:left="283"/>
      </w:pPr>
      <w:r/>
      <w:r>
        <w:rPr>
          <w:sz w:val="22"/>
        </w:rPr>
        <w:t>Détection sur protocoles critiques : SMB, FTP, SFTP, MFT</w:t>
      </w:r>
    </w:p>
    <w:p>
      <w:pPr>
        <w:pStyle w:val="ListBullet"/>
        <w:ind w:left="283"/>
      </w:pPr>
      <w:r/>
      <w:r>
        <w:rPr>
          <w:sz w:val="22"/>
        </w:rPr>
        <w:t>Allow-list de catégories métier (cliniques médicaux, banques, fournisseurs autorisés)</w:t>
      </w:r>
    </w:p>
    <w:p>
      <w:pPr>
        <w:keepNext/>
        <w:spacing w:before="280" w:after="120"/>
      </w:pPr>
      <w:r>
        <w:rPr>
          <w:b/>
          <w:color w:val="1F3A5F"/>
          <w:sz w:val="26"/>
        </w:rPr>
        <w:t>4.3  DLP cloud (CASB)</w:t>
      </w:r>
    </w:p>
    <w:p>
      <w:pPr>
        <w:pStyle w:val="ListBullet"/>
        <w:ind w:left="283"/>
      </w:pPr>
      <w:r/>
      <w:r>
        <w:rPr>
          <w:sz w:val="22"/>
        </w:rPr>
        <w:t>CASB API-based (Microsoft Defender for Cloud Apps, Netskope CASB, Symantec CloudSOC)</w:t>
      </w:r>
    </w:p>
    <w:p>
      <w:pPr>
        <w:pStyle w:val="ListBullet"/>
        <w:ind w:left="283"/>
      </w:pPr>
      <w:r/>
      <w:r>
        <w:rPr>
          <w:sz w:val="22"/>
        </w:rPr>
        <w:t>Couverture : M365, Google Workspace, Salesforce, Box, Dropbox Business, GitHub Enterprise</w:t>
      </w:r>
    </w:p>
    <w:p>
      <w:pPr>
        <w:pStyle w:val="ListBullet"/>
        <w:ind w:left="283"/>
      </w:pPr>
      <w:r/>
      <w:r>
        <w:rPr>
          <w:sz w:val="22"/>
        </w:rPr>
        <w:t>Détection partages externes, liens publics, mouvement DCP entre tenants</w:t>
      </w:r>
    </w:p>
    <w:p>
      <w:pPr>
        <w:pStyle w:val="ListBullet"/>
        <w:ind w:left="283"/>
      </w:pPr>
      <w:r/>
      <w:r>
        <w:rPr>
          <w:sz w:val="22"/>
        </w:rPr>
        <w:t>Quarantaine automatique des fichiers C2/C3 partagés externes sans étiquette</w:t>
      </w:r>
    </w:p>
    <w:p>
      <w:pPr>
        <w:pStyle w:val="ListBullet"/>
        <w:ind w:left="283"/>
      </w:pPr>
      <w:r/>
      <w:r>
        <w:rPr>
          <w:sz w:val="22"/>
        </w:rPr>
        <w:t>Découverte Shadow IT : surveillance trafic, scoring CASB, ajustement allow/block</w:t>
      </w:r>
    </w:p>
    <w:p>
      <w:pPr>
        <w:keepNext/>
        <w:spacing w:before="360" w:after="160"/>
        <w:pBdr>
          <w:bottom w:val="single" w:sz="6" w:color="C9A961"/>
        </w:pBdr>
      </w:pPr>
      <w:r>
        <w:rPr>
          <w:b/>
          <w:color w:val="1F3A5F"/>
          <w:sz w:val="32"/>
        </w:rPr>
        <w:t>5  Règles de détection par type de données</w:t>
      </w:r>
    </w:p>
    <w:p>
      <w:pPr>
        <w:keepNext/>
        <w:spacing w:before="280" w:after="120"/>
      </w:pPr>
      <w:r>
        <w:rPr>
          <w:b/>
          <w:color w:val="1F3A5F"/>
          <w:sz w:val="26"/>
        </w:rPr>
        <w:t>5.1  Données personnelles (RGPD)</w:t>
      </w:r>
    </w:p>
    <w:tbl>
      <w:tblPr>
        <w:tblW w:type="auto" w:w="0"/>
        <w:jc w:val="center"/>
        <w:tblLook w:firstColumn="1" w:firstRow="1" w:lastColumn="0" w:lastRow="0" w:noHBand="0" w:noVBand="1" w:val="04A0"/>
      </w:tblPr>
      <w:tblGrid>
        <w:gridCol w:w="1994"/>
        <w:gridCol w:w="1994"/>
        <w:gridCol w:w="1994"/>
        <w:gridCol w:w="1994"/>
        <w:gridCol w:w="1994"/>
      </w:tblGrid>
      <w:tr>
        <w:tc>
          <w:tcPr>
            <w:tcW w:type="dxa" w:w="1984"/>
            <w:shd w:fill="1F3A5F" w:val="clear"/>
            <w:tcBorders>
              <w:top w:val="single" w:sz="8" w:color="1F3A5F"/>
              <w:left w:val="single" w:sz="8" w:color="1F3A5F"/>
              <w:bottom w:val="single" w:sz="8" w:color="1F3A5F"/>
              <w:right w:val="single" w:sz="8" w:color="1F3A5F"/>
            </w:tcBorders>
          </w:tcPr>
          <w:p>
            <w:pPr>
              <w:jc w:val="center"/>
            </w:pPr>
            <w:r/>
            <w:r>
              <w:rPr>
                <w:b/>
                <w:color w:val="FFFFFF"/>
                <w:sz w:val="20"/>
              </w:rPr>
              <w:t>Type</w:t>
            </w:r>
          </w:p>
        </w:tc>
        <w:tc>
          <w:tcPr>
            <w:tcW w:type="dxa" w:w="2268"/>
            <w:shd w:fill="1F3A5F" w:val="clear"/>
            <w:tcBorders>
              <w:top w:val="single" w:sz="8" w:color="1F3A5F"/>
              <w:left w:val="single" w:sz="8" w:color="1F3A5F"/>
              <w:bottom w:val="single" w:sz="8" w:color="1F3A5F"/>
              <w:right w:val="single" w:sz="8" w:color="1F3A5F"/>
            </w:tcBorders>
          </w:tcPr>
          <w:p>
            <w:pPr>
              <w:jc w:val="center"/>
            </w:pPr>
            <w:r/>
            <w:r>
              <w:rPr>
                <w:b/>
                <w:color w:val="FFFFFF"/>
                <w:sz w:val="20"/>
              </w:rPr>
              <w:t>Pattern de détection</w:t>
            </w:r>
          </w:p>
        </w:tc>
        <w:tc>
          <w:tcPr>
            <w:tcW w:type="dxa" w:w="1417"/>
            <w:shd w:fill="1F3A5F" w:val="clear"/>
            <w:tcBorders>
              <w:top w:val="single" w:sz="8" w:color="1F3A5F"/>
              <w:left w:val="single" w:sz="8" w:color="1F3A5F"/>
              <w:bottom w:val="single" w:sz="8" w:color="1F3A5F"/>
              <w:right w:val="single" w:sz="8" w:color="1F3A5F"/>
            </w:tcBorders>
          </w:tcPr>
          <w:p>
            <w:pPr>
              <w:jc w:val="center"/>
            </w:pPr>
            <w:r/>
            <w:r>
              <w:rPr>
                <w:b/>
                <w:color w:val="FFFFFF"/>
                <w:sz w:val="20"/>
              </w:rPr>
              <w:t>Action C1</w:t>
            </w:r>
          </w:p>
        </w:tc>
        <w:tc>
          <w:tcPr>
            <w:tcW w:type="dxa" w:w="1417"/>
            <w:shd w:fill="1F3A5F" w:val="clear"/>
            <w:tcBorders>
              <w:top w:val="single" w:sz="8" w:color="1F3A5F"/>
              <w:left w:val="single" w:sz="8" w:color="1F3A5F"/>
              <w:bottom w:val="single" w:sz="8" w:color="1F3A5F"/>
              <w:right w:val="single" w:sz="8" w:color="1F3A5F"/>
            </w:tcBorders>
          </w:tcPr>
          <w:p>
            <w:pPr>
              <w:jc w:val="center"/>
            </w:pPr>
            <w:r/>
            <w:r>
              <w:rPr>
                <w:b/>
                <w:color w:val="FFFFFF"/>
                <w:sz w:val="20"/>
              </w:rPr>
              <w:t>Action C2</w:t>
            </w:r>
          </w:p>
        </w:tc>
        <w:tc>
          <w:tcPr>
            <w:tcW w:type="dxa" w:w="1417"/>
            <w:shd w:fill="1F3A5F" w:val="clear"/>
            <w:tcBorders>
              <w:top w:val="single" w:sz="8" w:color="1F3A5F"/>
              <w:left w:val="single" w:sz="8" w:color="1F3A5F"/>
              <w:bottom w:val="single" w:sz="8" w:color="1F3A5F"/>
              <w:right w:val="single" w:sz="8" w:color="1F3A5F"/>
            </w:tcBorders>
          </w:tcPr>
          <w:p>
            <w:pPr>
              <w:jc w:val="center"/>
            </w:pPr>
            <w:r/>
            <w:r>
              <w:rPr>
                <w:b/>
                <w:color w:val="FFFFFF"/>
                <w:sz w:val="20"/>
              </w:rPr>
              <w:t>Action C3</w:t>
            </w:r>
          </w:p>
        </w:tc>
      </w:tr>
      <w:tr>
        <w:tc>
          <w:tcPr>
            <w:tcW w:type="dxa" w:w="1984"/>
            <w:tcBorders>
              <w:top w:val="single" w:sz="6" w:color="999999"/>
              <w:left w:val="single" w:sz="6" w:color="999999"/>
              <w:bottom w:val="single" w:sz="6" w:color="999999"/>
              <w:right w:val="single" w:sz="6" w:color="999999"/>
            </w:tcBorders>
          </w:tcPr>
          <w:p>
            <w:r/>
            <w:r>
              <w:rPr>
                <w:sz w:val="20"/>
              </w:rPr>
              <w:t>NIR (numéro sécu sociale)</w:t>
            </w:r>
          </w:p>
        </w:tc>
        <w:tc>
          <w:tcPr>
            <w:tcW w:type="dxa" w:w="2268"/>
            <w:tcBorders>
              <w:top w:val="single" w:sz="6" w:color="999999"/>
              <w:left w:val="single" w:sz="6" w:color="999999"/>
              <w:bottom w:val="single" w:sz="6" w:color="999999"/>
              <w:right w:val="single" w:sz="6" w:color="999999"/>
            </w:tcBorders>
          </w:tcPr>
          <w:p>
            <w:r/>
            <w:r>
              <w:rPr>
                <w:sz w:val="20"/>
              </w:rPr>
              <w:t>Regex 13/15 chiffres + clé contrôle</w:t>
            </w:r>
          </w:p>
        </w:tc>
        <w:tc>
          <w:tcPr>
            <w:tcW w:type="dxa" w:w="1417"/>
            <w:tcBorders>
              <w:top w:val="single" w:sz="6" w:color="999999"/>
              <w:left w:val="single" w:sz="6" w:color="999999"/>
              <w:bottom w:val="single" w:sz="6" w:color="999999"/>
              <w:right w:val="single" w:sz="6" w:color="999999"/>
            </w:tcBorders>
          </w:tcPr>
          <w:p>
            <w:r/>
            <w:r>
              <w:rPr>
                <w:sz w:val="20"/>
              </w:rPr>
              <w:t>Monitor</w:t>
            </w:r>
          </w:p>
        </w:tc>
        <w:tc>
          <w:tcPr>
            <w:tcW w:type="dxa" w:w="1417"/>
            <w:tcBorders>
              <w:top w:val="single" w:sz="6" w:color="999999"/>
              <w:left w:val="single" w:sz="6" w:color="999999"/>
              <w:bottom w:val="single" w:sz="6" w:color="999999"/>
              <w:right w:val="single" w:sz="6" w:color="999999"/>
            </w:tcBorders>
          </w:tcPr>
          <w:p>
            <w:r/>
            <w:r>
              <w:rPr>
                <w:sz w:val="20"/>
              </w:rPr>
              <w:t>Alerte+nudge</w:t>
            </w:r>
          </w:p>
        </w:tc>
        <w:tc>
          <w:tcPr>
            <w:tcW w:type="dxa" w:w="1417"/>
            <w:tcBorders>
              <w:top w:val="single" w:sz="6" w:color="999999"/>
              <w:left w:val="single" w:sz="6" w:color="999999"/>
              <w:bottom w:val="single" w:sz="6" w:color="999999"/>
              <w:right w:val="single" w:sz="6" w:color="999999"/>
            </w:tcBorders>
          </w:tcPr>
          <w:p>
            <w:r/>
            <w:r>
              <w:rPr>
                <w:sz w:val="20"/>
              </w:rPr>
              <w:t>Bloquer</w:t>
            </w:r>
          </w:p>
        </w:tc>
      </w:tr>
      <w:tr>
        <w:tc>
          <w:tcPr>
            <w:tcW w:type="dxa" w:w="1984"/>
            <w:shd w:fill="F8F6F0" w:val="clear"/>
            <w:tcBorders>
              <w:top w:val="single" w:sz="6" w:color="999999"/>
              <w:left w:val="single" w:sz="6" w:color="999999"/>
              <w:bottom w:val="single" w:sz="6" w:color="999999"/>
              <w:right w:val="single" w:sz="6" w:color="999999"/>
            </w:tcBorders>
          </w:tcPr>
          <w:p>
            <w:r/>
            <w:r>
              <w:rPr>
                <w:sz w:val="20"/>
              </w:rPr>
              <w:t>IBAN français</w:t>
            </w:r>
          </w:p>
        </w:tc>
        <w:tc>
          <w:tcPr>
            <w:tcW w:type="dxa" w:w="2268"/>
            <w:shd w:fill="F8F6F0" w:val="clear"/>
            <w:tcBorders>
              <w:top w:val="single" w:sz="6" w:color="999999"/>
              <w:left w:val="single" w:sz="6" w:color="999999"/>
              <w:bottom w:val="single" w:sz="6" w:color="999999"/>
              <w:right w:val="single" w:sz="6" w:color="999999"/>
            </w:tcBorders>
          </w:tcPr>
          <w:p>
            <w:r/>
            <w:r>
              <w:rPr>
                <w:sz w:val="20"/>
              </w:rPr>
              <w:t>FR + 25 chiffres + checksum mod-97</w:t>
            </w:r>
          </w:p>
        </w:tc>
        <w:tc>
          <w:tcPr>
            <w:tcW w:type="dxa" w:w="1417"/>
            <w:shd w:fill="F8F6F0" w:val="clear"/>
            <w:tcBorders>
              <w:top w:val="single" w:sz="6" w:color="999999"/>
              <w:left w:val="single" w:sz="6" w:color="999999"/>
              <w:bottom w:val="single" w:sz="6" w:color="999999"/>
              <w:right w:val="single" w:sz="6" w:color="999999"/>
            </w:tcBorders>
          </w:tcPr>
          <w:p>
            <w:r/>
            <w:r>
              <w:rPr>
                <w:sz w:val="20"/>
              </w:rPr>
              <w:t>Monitor</w:t>
            </w:r>
          </w:p>
        </w:tc>
        <w:tc>
          <w:tcPr>
            <w:tcW w:type="dxa" w:w="1417"/>
            <w:shd w:fill="F8F6F0" w:val="clear"/>
            <w:tcBorders>
              <w:top w:val="single" w:sz="6" w:color="999999"/>
              <w:left w:val="single" w:sz="6" w:color="999999"/>
              <w:bottom w:val="single" w:sz="6" w:color="999999"/>
              <w:right w:val="single" w:sz="6" w:color="999999"/>
            </w:tcBorders>
          </w:tcPr>
          <w:p>
            <w:r/>
            <w:r>
              <w:rPr>
                <w:sz w:val="20"/>
              </w:rPr>
              <w:t>Alerte</w:t>
            </w:r>
          </w:p>
        </w:tc>
        <w:tc>
          <w:tcPr>
            <w:tcW w:type="dxa" w:w="1417"/>
            <w:shd w:fill="F8F6F0" w:val="clear"/>
            <w:tcBorders>
              <w:top w:val="single" w:sz="6" w:color="999999"/>
              <w:left w:val="single" w:sz="6" w:color="999999"/>
              <w:bottom w:val="single" w:sz="6" w:color="999999"/>
              <w:right w:val="single" w:sz="6" w:color="999999"/>
            </w:tcBorders>
          </w:tcPr>
          <w:p>
            <w:r/>
            <w:r>
              <w:rPr>
                <w:sz w:val="20"/>
              </w:rPr>
              <w:t>Bloquer</w:t>
            </w:r>
          </w:p>
        </w:tc>
      </w:tr>
      <w:tr>
        <w:tc>
          <w:tcPr>
            <w:tcW w:type="dxa" w:w="1984"/>
            <w:tcBorders>
              <w:top w:val="single" w:sz="6" w:color="999999"/>
              <w:left w:val="single" w:sz="6" w:color="999999"/>
              <w:bottom w:val="single" w:sz="6" w:color="999999"/>
              <w:right w:val="single" w:sz="6" w:color="999999"/>
            </w:tcBorders>
          </w:tcPr>
          <w:p>
            <w:r/>
            <w:r>
              <w:rPr>
                <w:sz w:val="20"/>
              </w:rPr>
              <w:t>Carte bancaire (PAN)</w:t>
            </w:r>
          </w:p>
        </w:tc>
        <w:tc>
          <w:tcPr>
            <w:tcW w:type="dxa" w:w="2268"/>
            <w:tcBorders>
              <w:top w:val="single" w:sz="6" w:color="999999"/>
              <w:left w:val="single" w:sz="6" w:color="999999"/>
              <w:bottom w:val="single" w:sz="6" w:color="999999"/>
              <w:right w:val="single" w:sz="6" w:color="999999"/>
            </w:tcBorders>
          </w:tcPr>
          <w:p>
            <w:r/>
            <w:r>
              <w:rPr>
                <w:sz w:val="20"/>
              </w:rPr>
              <w:t>Luhn + BIN</w:t>
            </w:r>
          </w:p>
        </w:tc>
        <w:tc>
          <w:tcPr>
            <w:tcW w:type="dxa" w:w="1417"/>
            <w:tcBorders>
              <w:top w:val="single" w:sz="6" w:color="999999"/>
              <w:left w:val="single" w:sz="6" w:color="999999"/>
              <w:bottom w:val="single" w:sz="6" w:color="999999"/>
              <w:right w:val="single" w:sz="6" w:color="999999"/>
            </w:tcBorders>
          </w:tcPr>
          <w:p>
            <w:r/>
            <w:r>
              <w:rPr>
                <w:sz w:val="20"/>
              </w:rPr>
              <w:t>Monitor</w:t>
            </w:r>
          </w:p>
        </w:tc>
        <w:tc>
          <w:tcPr>
            <w:tcW w:type="dxa" w:w="1417"/>
            <w:tcBorders>
              <w:top w:val="single" w:sz="6" w:color="999999"/>
              <w:left w:val="single" w:sz="6" w:color="999999"/>
              <w:bottom w:val="single" w:sz="6" w:color="999999"/>
              <w:right w:val="single" w:sz="6" w:color="999999"/>
            </w:tcBorders>
          </w:tcPr>
          <w:p>
            <w:r/>
            <w:r>
              <w:rPr>
                <w:sz w:val="20"/>
              </w:rPr>
              <w:t>Bloquer</w:t>
            </w:r>
          </w:p>
        </w:tc>
        <w:tc>
          <w:tcPr>
            <w:tcW w:type="dxa" w:w="1417"/>
            <w:tcBorders>
              <w:top w:val="single" w:sz="6" w:color="999999"/>
              <w:left w:val="single" w:sz="6" w:color="999999"/>
              <w:bottom w:val="single" w:sz="6" w:color="999999"/>
              <w:right w:val="single" w:sz="6" w:color="999999"/>
            </w:tcBorders>
          </w:tcPr>
          <w:p>
            <w:r/>
            <w:r>
              <w:rPr>
                <w:sz w:val="20"/>
              </w:rPr>
              <w:t>Bloquer</w:t>
            </w:r>
          </w:p>
        </w:tc>
      </w:tr>
      <w:tr>
        <w:tc>
          <w:tcPr>
            <w:tcW w:type="dxa" w:w="1984"/>
            <w:shd w:fill="F8F6F0" w:val="clear"/>
            <w:tcBorders>
              <w:top w:val="single" w:sz="6" w:color="999999"/>
              <w:left w:val="single" w:sz="6" w:color="999999"/>
              <w:bottom w:val="single" w:sz="6" w:color="999999"/>
              <w:right w:val="single" w:sz="6" w:color="999999"/>
            </w:tcBorders>
          </w:tcPr>
          <w:p>
            <w:r/>
            <w:r>
              <w:rPr>
                <w:sz w:val="20"/>
              </w:rPr>
              <w:t>Email + nom + adresse (combo PII)</w:t>
            </w:r>
          </w:p>
        </w:tc>
        <w:tc>
          <w:tcPr>
            <w:tcW w:type="dxa" w:w="2268"/>
            <w:shd w:fill="F8F6F0" w:val="clear"/>
            <w:tcBorders>
              <w:top w:val="single" w:sz="6" w:color="999999"/>
              <w:left w:val="single" w:sz="6" w:color="999999"/>
              <w:bottom w:val="single" w:sz="6" w:color="999999"/>
              <w:right w:val="single" w:sz="6" w:color="999999"/>
            </w:tcBorders>
          </w:tcPr>
          <w:p>
            <w:r/>
            <w:r>
              <w:rPr>
                <w:sz w:val="20"/>
              </w:rPr>
              <w:t>Pattern composite</w:t>
            </w:r>
          </w:p>
        </w:tc>
        <w:tc>
          <w:tcPr>
            <w:tcW w:type="dxa" w:w="1417"/>
            <w:shd w:fill="F8F6F0" w:val="clear"/>
            <w:tcBorders>
              <w:top w:val="single" w:sz="6" w:color="999999"/>
              <w:left w:val="single" w:sz="6" w:color="999999"/>
              <w:bottom w:val="single" w:sz="6" w:color="999999"/>
              <w:right w:val="single" w:sz="6" w:color="999999"/>
            </w:tcBorders>
          </w:tcPr>
          <w:p>
            <w:r/>
            <w:r>
              <w:rPr>
                <w:sz w:val="20"/>
              </w:rPr>
              <w:t>Monitor</w:t>
            </w:r>
          </w:p>
        </w:tc>
        <w:tc>
          <w:tcPr>
            <w:tcW w:type="dxa" w:w="1417"/>
            <w:shd w:fill="F8F6F0" w:val="clear"/>
            <w:tcBorders>
              <w:top w:val="single" w:sz="6" w:color="999999"/>
              <w:left w:val="single" w:sz="6" w:color="999999"/>
              <w:bottom w:val="single" w:sz="6" w:color="999999"/>
              <w:right w:val="single" w:sz="6" w:color="999999"/>
            </w:tcBorders>
          </w:tcPr>
          <w:p>
            <w:r/>
            <w:r>
              <w:rPr>
                <w:sz w:val="20"/>
              </w:rPr>
              <w:t>Alerte</w:t>
            </w:r>
          </w:p>
        </w:tc>
        <w:tc>
          <w:tcPr>
            <w:tcW w:type="dxa" w:w="1417"/>
            <w:shd w:fill="F8F6F0" w:val="clear"/>
            <w:tcBorders>
              <w:top w:val="single" w:sz="6" w:color="999999"/>
              <w:left w:val="single" w:sz="6" w:color="999999"/>
              <w:bottom w:val="single" w:sz="6" w:color="999999"/>
              <w:right w:val="single" w:sz="6" w:color="999999"/>
            </w:tcBorders>
          </w:tcPr>
          <w:p>
            <w:r/>
            <w:r>
              <w:rPr>
                <w:sz w:val="20"/>
              </w:rPr>
              <w:t>Bloquer</w:t>
            </w:r>
          </w:p>
        </w:tc>
      </w:tr>
      <w:tr>
        <w:tc>
          <w:tcPr>
            <w:tcW w:type="dxa" w:w="1984"/>
            <w:tcBorders>
              <w:top w:val="single" w:sz="6" w:color="999999"/>
              <w:left w:val="single" w:sz="6" w:color="999999"/>
              <w:bottom w:val="single" w:sz="6" w:color="999999"/>
              <w:right w:val="single" w:sz="6" w:color="999999"/>
            </w:tcBorders>
          </w:tcPr>
          <w:p>
            <w:r/>
            <w:r>
              <w:rPr>
                <w:sz w:val="20"/>
              </w:rPr>
              <w:t>Passeport / CNI</w:t>
            </w:r>
          </w:p>
        </w:tc>
        <w:tc>
          <w:tcPr>
            <w:tcW w:type="dxa" w:w="2268"/>
            <w:tcBorders>
              <w:top w:val="single" w:sz="6" w:color="999999"/>
              <w:left w:val="single" w:sz="6" w:color="999999"/>
              <w:bottom w:val="single" w:sz="6" w:color="999999"/>
              <w:right w:val="single" w:sz="6" w:color="999999"/>
            </w:tcBorders>
          </w:tcPr>
          <w:p>
            <w:r/>
            <w:r>
              <w:rPr>
                <w:sz w:val="20"/>
              </w:rPr>
              <w:t>Patterns FR / UE</w:t>
            </w:r>
          </w:p>
        </w:tc>
        <w:tc>
          <w:tcPr>
            <w:tcW w:type="dxa" w:w="1417"/>
            <w:tcBorders>
              <w:top w:val="single" w:sz="6" w:color="999999"/>
              <w:left w:val="single" w:sz="6" w:color="999999"/>
              <w:bottom w:val="single" w:sz="6" w:color="999999"/>
              <w:right w:val="single" w:sz="6" w:color="999999"/>
            </w:tcBorders>
          </w:tcPr>
          <w:p>
            <w:r/>
            <w:r>
              <w:rPr>
                <w:sz w:val="20"/>
              </w:rPr>
              <w:t>Monitor</w:t>
            </w:r>
          </w:p>
        </w:tc>
        <w:tc>
          <w:tcPr>
            <w:tcW w:type="dxa" w:w="1417"/>
            <w:tcBorders>
              <w:top w:val="single" w:sz="6" w:color="999999"/>
              <w:left w:val="single" w:sz="6" w:color="999999"/>
              <w:bottom w:val="single" w:sz="6" w:color="999999"/>
              <w:right w:val="single" w:sz="6" w:color="999999"/>
            </w:tcBorders>
          </w:tcPr>
          <w:p>
            <w:r/>
            <w:r>
              <w:rPr>
                <w:sz w:val="20"/>
              </w:rPr>
              <w:t>Alerte</w:t>
            </w:r>
          </w:p>
        </w:tc>
        <w:tc>
          <w:tcPr>
            <w:tcW w:type="dxa" w:w="1417"/>
            <w:tcBorders>
              <w:top w:val="single" w:sz="6" w:color="999999"/>
              <w:left w:val="single" w:sz="6" w:color="999999"/>
              <w:bottom w:val="single" w:sz="6" w:color="999999"/>
              <w:right w:val="single" w:sz="6" w:color="999999"/>
            </w:tcBorders>
          </w:tcPr>
          <w:p>
            <w:r/>
            <w:r>
              <w:rPr>
                <w:sz w:val="20"/>
              </w:rPr>
              <w:t>Bloquer</w:t>
            </w:r>
          </w:p>
        </w:tc>
      </w:tr>
      <w:tr>
        <w:tc>
          <w:tcPr>
            <w:tcW w:type="dxa" w:w="1984"/>
            <w:shd w:fill="F8F6F0" w:val="clear"/>
            <w:tcBorders>
              <w:top w:val="single" w:sz="6" w:color="999999"/>
              <w:left w:val="single" w:sz="6" w:color="999999"/>
              <w:bottom w:val="single" w:sz="6" w:color="999999"/>
              <w:right w:val="single" w:sz="6" w:color="999999"/>
            </w:tcBorders>
          </w:tcPr>
          <w:p>
            <w:r/>
            <w:r>
              <w:rPr>
                <w:sz w:val="20"/>
              </w:rPr>
              <w:t>Plaque immatriculation</w:t>
            </w:r>
          </w:p>
        </w:tc>
        <w:tc>
          <w:tcPr>
            <w:tcW w:type="dxa" w:w="2268"/>
            <w:shd w:fill="F8F6F0" w:val="clear"/>
            <w:tcBorders>
              <w:top w:val="single" w:sz="6" w:color="999999"/>
              <w:left w:val="single" w:sz="6" w:color="999999"/>
              <w:bottom w:val="single" w:sz="6" w:color="999999"/>
              <w:right w:val="single" w:sz="6" w:color="999999"/>
            </w:tcBorders>
          </w:tcPr>
          <w:p>
            <w:r/>
            <w:r>
              <w:rPr>
                <w:sz w:val="20"/>
              </w:rPr>
              <w:t>FR : 2L-3C-2L</w:t>
            </w:r>
          </w:p>
        </w:tc>
        <w:tc>
          <w:tcPr>
            <w:tcW w:type="dxa" w:w="1417"/>
            <w:shd w:fill="F8F6F0" w:val="clear"/>
            <w:tcBorders>
              <w:top w:val="single" w:sz="6" w:color="999999"/>
              <w:left w:val="single" w:sz="6" w:color="999999"/>
              <w:bottom w:val="single" w:sz="6" w:color="999999"/>
              <w:right w:val="single" w:sz="6" w:color="999999"/>
            </w:tcBorders>
          </w:tcPr>
          <w:p>
            <w:r/>
            <w:r>
              <w:rPr>
                <w:sz w:val="20"/>
              </w:rPr>
              <w:t>Aucune</w:t>
            </w:r>
          </w:p>
        </w:tc>
        <w:tc>
          <w:tcPr>
            <w:tcW w:type="dxa" w:w="1417"/>
            <w:shd w:fill="F8F6F0" w:val="clear"/>
            <w:tcBorders>
              <w:top w:val="single" w:sz="6" w:color="999999"/>
              <w:left w:val="single" w:sz="6" w:color="999999"/>
              <w:bottom w:val="single" w:sz="6" w:color="999999"/>
              <w:right w:val="single" w:sz="6" w:color="999999"/>
            </w:tcBorders>
          </w:tcPr>
          <w:p>
            <w:r/>
            <w:r>
              <w:rPr>
                <w:sz w:val="20"/>
              </w:rPr>
              <w:t>Monitor</w:t>
            </w:r>
          </w:p>
        </w:tc>
        <w:tc>
          <w:tcPr>
            <w:tcW w:type="dxa" w:w="1417"/>
            <w:shd w:fill="F8F6F0" w:val="clear"/>
            <w:tcBorders>
              <w:top w:val="single" w:sz="6" w:color="999999"/>
              <w:left w:val="single" w:sz="6" w:color="999999"/>
              <w:bottom w:val="single" w:sz="6" w:color="999999"/>
              <w:right w:val="single" w:sz="6" w:color="999999"/>
            </w:tcBorders>
          </w:tcPr>
          <w:p>
            <w:r/>
            <w:r>
              <w:rPr>
                <w:sz w:val="20"/>
              </w:rPr>
              <w:t>Alerte</w:t>
            </w:r>
          </w:p>
        </w:tc>
      </w:tr>
    </w:tbl>
    <w:p>
      <w:pPr>
        <w:keepNext/>
        <w:spacing w:before="280" w:after="120"/>
      </w:pPr>
      <w:r>
        <w:rPr>
          <w:b/>
          <w:color w:val="1F3A5F"/>
          <w:sz w:val="26"/>
        </w:rPr>
        <w:t>5.2  Données financières et bancaires</w:t>
      </w:r>
    </w:p>
    <w:p>
      <w:pPr>
        <w:pStyle w:val="ListBullet"/>
        <w:ind w:left="283"/>
      </w:pPr>
      <w:r/>
      <w:r>
        <w:rPr>
          <w:sz w:val="22"/>
        </w:rPr>
        <w:t>PAN PCI-DSS — détection Luhn + BIN authentique — bloquer hors enclave PCI</w:t>
      </w:r>
    </w:p>
    <w:p>
      <w:pPr>
        <w:pStyle w:val="ListBullet"/>
        <w:ind w:left="283"/>
      </w:pPr>
      <w:r/>
      <w:r>
        <w:rPr>
          <w:sz w:val="22"/>
        </w:rPr>
        <w:t>Liasse comptable / bilan non publié — fingerprinting templates</w:t>
      </w:r>
    </w:p>
    <w:p>
      <w:pPr>
        <w:pStyle w:val="ListBullet"/>
        <w:ind w:left="283"/>
      </w:pPr>
      <w:r/>
      <w:r>
        <w:rPr>
          <w:sz w:val="22"/>
        </w:rPr>
        <w:t>RIB, IBAN, BIC — Luhn, checksum mod-97</w:t>
      </w:r>
    </w:p>
    <w:p>
      <w:pPr>
        <w:pStyle w:val="ListBullet"/>
        <w:ind w:left="283"/>
      </w:pPr>
      <w:r/>
      <w:r>
        <w:rPr>
          <w:sz w:val="22"/>
        </w:rPr>
        <w:t>Bulletins de paie — fingerprint structure + mots-clés</w:t>
      </w:r>
    </w:p>
    <w:p>
      <w:pPr>
        <w:pStyle w:val="ListBullet"/>
        <w:ind w:left="283"/>
      </w:pPr>
      <w:r/>
      <w:r>
        <w:rPr>
          <w:sz w:val="22"/>
        </w:rPr>
        <w:t>Données fiscales (numéro fiscal SPI 13 chiffres)</w:t>
      </w:r>
    </w:p>
    <w:p>
      <w:pPr>
        <w:keepNext/>
        <w:spacing w:before="280" w:after="120"/>
      </w:pPr>
      <w:r>
        <w:rPr>
          <w:b/>
          <w:color w:val="1F3A5F"/>
          <w:sz w:val="26"/>
        </w:rPr>
        <w:t>5.3  Secrets et propriété intellectuelle</w:t>
      </w:r>
    </w:p>
    <w:p>
      <w:pPr>
        <w:pStyle w:val="ListBullet"/>
        <w:ind w:left="283"/>
      </w:pPr>
      <w:r/>
      <w:r>
        <w:rPr>
          <w:sz w:val="22"/>
        </w:rPr>
        <w:t>Marquage par étiquette Purview ou Titus</w:t>
      </w:r>
    </w:p>
    <w:p>
      <w:pPr>
        <w:pStyle w:val="ListBullet"/>
        <w:ind w:left="283"/>
      </w:pPr>
      <w:r/>
      <w:r>
        <w:rPr>
          <w:sz w:val="22"/>
        </w:rPr>
        <w:t>Fingerprinting de documents R&amp;D / brevets</w:t>
      </w:r>
    </w:p>
    <w:p>
      <w:pPr>
        <w:pStyle w:val="ListBullet"/>
        <w:ind w:left="283"/>
      </w:pPr>
      <w:r/>
      <w:r>
        <w:rPr>
          <w:sz w:val="22"/>
        </w:rPr>
        <w:t>Détection secrets dans code source : clés API, tokens (TruffleHog, Gitleaks intégrés)</w:t>
      </w:r>
    </w:p>
    <w:p>
      <w:pPr>
        <w:pStyle w:val="ListBullet"/>
        <w:ind w:left="283"/>
      </w:pPr>
      <w:r/>
      <w:r>
        <w:rPr>
          <w:sz w:val="22"/>
        </w:rPr>
        <w:t>Métadonnées : présence d'étiquette ou de propriétés MS Office sensibles</w:t>
      </w:r>
    </w:p>
    <w:p>
      <w:pPr>
        <w:pStyle w:val="ListBullet"/>
        <w:ind w:left="283"/>
      </w:pPr>
      <w:r/>
      <w:r>
        <w:rPr>
          <w:sz w:val="22"/>
        </w:rPr>
        <w:t>Quote en clair des termes techniques classifiés (cf. taxonomie organisation)</w:t>
      </w:r>
    </w:p>
    <w:p>
      <w:pPr>
        <w:keepNext/>
        <w:spacing w:before="360" w:after="160"/>
        <w:pBdr>
          <w:bottom w:val="single" w:sz="6" w:color="C9A961"/>
        </w:pBdr>
      </w:pPr>
      <w:r>
        <w:rPr>
          <w:b/>
          <w:color w:val="1F3A5F"/>
          <w:sz w:val="32"/>
        </w:rPr>
        <w:t>6  Workflow d'alerte et de remédiation</w:t>
      </w:r>
    </w:p>
    <w:p>
      <w:pPr>
        <w:pStyle w:val="ListNumber"/>
      </w:pPr>
      <w:r>
        <w:rPr>
          <w:sz w:val="22"/>
        </w:rPr>
        <w:t>Détection DLP → événement enrichi (utilisateur, asset, contexte, classification)</w:t>
      </w:r>
    </w:p>
    <w:p>
      <w:pPr>
        <w:pStyle w:val="ListNumber"/>
      </w:pPr>
      <w:r>
        <w:rPr>
          <w:sz w:val="22"/>
        </w:rPr>
        <w:t>Évaluation automatique du risque (score, sévérité, faux positifs connus)</w:t>
      </w:r>
    </w:p>
    <w:p>
      <w:pPr>
        <w:pStyle w:val="ListNumber"/>
      </w:pPr>
      <w:r>
        <w:rPr>
          <w:sz w:val="22"/>
        </w:rPr>
        <w:t>Action en temps réel :</w:t>
      </w:r>
    </w:p>
    <w:p>
      <w:pPr>
        <w:pStyle w:val="ListBullet"/>
        <w:ind w:left="567"/>
      </w:pPr>
      <w:r/>
      <w:r>
        <w:rPr>
          <w:sz w:val="22"/>
        </w:rPr>
        <w:t>Coach (notification, justification demandée)</w:t>
      </w:r>
    </w:p>
    <w:p>
      <w:pPr>
        <w:pStyle w:val="ListBullet"/>
        <w:ind w:left="567"/>
      </w:pPr>
      <w:r/>
      <w:r>
        <w:rPr>
          <w:sz w:val="22"/>
        </w:rPr>
        <w:t>Alerte SOC sans bloquage</w:t>
      </w:r>
    </w:p>
    <w:p>
      <w:pPr>
        <w:pStyle w:val="ListBullet"/>
        <w:ind w:left="567"/>
      </w:pPr>
      <w:r/>
      <w:r>
        <w:rPr>
          <w:sz w:val="22"/>
        </w:rPr>
        <w:t>Blocage + alerte SOC + notification manager</w:t>
      </w:r>
    </w:p>
    <w:p>
      <w:pPr>
        <w:pStyle w:val="ListBullet"/>
        <w:ind w:left="567"/>
      </w:pPr>
      <w:r/>
      <w:r>
        <w:rPr>
          <w:sz w:val="22"/>
        </w:rPr>
        <w:t>Quarantaine + bloquage compte le temps de l'investigation</w:t>
      </w:r>
    </w:p>
    <w:p>
      <w:pPr>
        <w:pStyle w:val="ListNumber"/>
      </w:pPr>
      <w:r>
        <w:rPr>
          <w:sz w:val="22"/>
        </w:rPr>
        <w:t>Investigation SOC N2 sur incidents qualifiés</w:t>
      </w:r>
    </w:p>
    <w:p>
      <w:pPr>
        <w:pStyle w:val="ListNumber"/>
      </w:pPr>
      <w:r>
        <w:rPr>
          <w:sz w:val="22"/>
        </w:rPr>
        <w:t>Si fuite avérée : ouverture incident formel (PROC-INC-01)</w:t>
      </w:r>
    </w:p>
    <w:p>
      <w:pPr>
        <w:pStyle w:val="ListNumber"/>
      </w:pPr>
      <w:r>
        <w:rPr>
          <w:sz w:val="22"/>
        </w:rPr>
        <w:t>Si DCP impactées : DPO → notification CNIL ≤ 72h</w:t>
      </w:r>
    </w:p>
    <w:p>
      <w:pPr>
        <w:pStyle w:val="ListNumber"/>
      </w:pPr>
      <w:r>
        <w:rPr>
          <w:sz w:val="22"/>
        </w:rPr>
        <w:t>Communication graduée : manager, RH (si comportement intentionnel), juridique</w:t>
      </w:r>
    </w:p>
    <w:p>
      <w:pPr>
        <w:keepNext/>
        <w:spacing w:before="360" w:after="160"/>
        <w:pBdr>
          <w:bottom w:val="single" w:sz="6" w:color="C9A961"/>
        </w:pBdr>
      </w:pPr>
      <w:r>
        <w:rPr>
          <w:b/>
          <w:color w:val="1F3A5F"/>
          <w:sz w:val="32"/>
        </w:rPr>
        <w:t>7  Tests d'exfiltration</w:t>
      </w:r>
    </w:p>
    <w:p>
      <w:pPr>
        <w:jc w:val="both"/>
      </w:pPr>
      <w:r>
        <w:rPr>
          <w:b w:val="0"/>
          <w:i w:val="0"/>
          <w:sz w:val="22"/>
        </w:rPr>
        <w:t>Tests planifiés pour mesurer l'efficacité du dispositif :</w:t>
      </w:r>
    </w:p>
    <w:p>
      <w:pPr>
        <w:pStyle w:val="ListBullet"/>
        <w:ind w:left="283"/>
      </w:pPr>
      <w:r/>
      <w:r>
        <w:rPr>
          <w:sz w:val="22"/>
        </w:rPr>
        <w:t>Tests endpoint trimestriels : tentatives copier-coller, USB, mail externe, upload cloud non autorisé</w:t>
      </w:r>
    </w:p>
    <w:p>
      <w:pPr>
        <w:pStyle w:val="ListBullet"/>
        <w:ind w:left="283"/>
      </w:pPr>
      <w:r/>
      <w:r>
        <w:rPr>
          <w:sz w:val="22"/>
        </w:rPr>
        <w:t>Tests mail mensuels : envoi de fichiers tagués vers comptes externes contrôlés</w:t>
      </w:r>
    </w:p>
    <w:p>
      <w:pPr>
        <w:pStyle w:val="ListBullet"/>
        <w:ind w:left="283"/>
      </w:pPr>
      <w:r/>
      <w:r>
        <w:rPr>
          <w:sz w:val="22"/>
        </w:rPr>
        <w:t>Tests cloud trimestriels : partage public depuis OneDrive/Drive, transfert tenant à tenant</w:t>
      </w:r>
    </w:p>
    <w:p>
      <w:pPr>
        <w:pStyle w:val="ListBullet"/>
        <w:ind w:left="283"/>
      </w:pPr>
      <w:r/>
      <w:r>
        <w:rPr>
          <w:sz w:val="22"/>
        </w:rPr>
        <w:t>Test red team annuel sur scénarios d'exfiltration avancés (DNS tunneling, stéganographie)</w:t>
      </w:r>
    </w:p>
    <w:p>
      <w:pPr>
        <w:pStyle w:val="ListBullet"/>
        <w:ind w:left="283"/>
      </w:pPr>
      <w:r/>
      <w:r>
        <w:rPr>
          <w:sz w:val="22"/>
        </w:rPr>
        <w:t>Documentation des résultats, plan de correction des gaps</w:t>
      </w:r>
    </w:p>
    <w:p>
      <w:pPr>
        <w:keepNext/>
        <w:spacing w:before="360" w:after="160"/>
        <w:pBdr>
          <w:bottom w:val="single" w:sz="6" w:color="C9A961"/>
        </w:pBdr>
      </w:pPr>
      <w:r>
        <w:rPr>
          <w:b/>
          <w:color w:val="1F3A5F"/>
          <w:sz w:val="32"/>
        </w:rPr>
        <w:t>8  Conformité légale</w:t>
      </w:r>
    </w:p>
    <w:p>
      <w:pPr>
        <w:pStyle w:val="ListBullet"/>
        <w:ind w:left="283"/>
      </w:pPr>
      <w:r/>
      <w:r>
        <w:rPr>
          <w:sz w:val="22"/>
        </w:rPr>
        <w:t>Information préalable des collaborateurs via Charte SI et consultation CSE (article L1222-4)</w:t>
      </w:r>
    </w:p>
    <w:p>
      <w:pPr>
        <w:pStyle w:val="ListBullet"/>
        <w:ind w:left="283"/>
      </w:pPr>
      <w:r/>
      <w:r>
        <w:rPr>
          <w:sz w:val="22"/>
        </w:rPr>
        <w:t>Inscription au registre des traitements (article 30 RGPD)</w:t>
      </w:r>
    </w:p>
    <w:p>
      <w:pPr>
        <w:pStyle w:val="ListBullet"/>
        <w:ind w:left="283"/>
      </w:pPr>
      <w:r/>
      <w:r>
        <w:rPr>
          <w:sz w:val="22"/>
        </w:rPr>
        <w:t>Base légale : intérêt légitime art. 6.1.f, équilibré avec test de proportionnalité</w:t>
      </w:r>
    </w:p>
    <w:p>
      <w:pPr>
        <w:pStyle w:val="ListBullet"/>
        <w:ind w:left="283"/>
      </w:pPr>
      <w:r/>
      <w:r>
        <w:rPr>
          <w:sz w:val="22"/>
        </w:rPr>
        <w:t>Pas de surveillance individualisée hors investigation incident, validation Juridique + DPO</w:t>
      </w:r>
    </w:p>
    <w:p>
      <w:pPr>
        <w:pStyle w:val="ListBullet"/>
        <w:ind w:left="283"/>
      </w:pPr>
      <w:r/>
      <w:r>
        <w:rPr>
          <w:sz w:val="22"/>
        </w:rPr>
        <w:t>Conservation logs DLP : 6 mois max sauf incident en cours</w:t>
      </w:r>
    </w:p>
    <w:p>
      <w:pPr>
        <w:pStyle w:val="ListBullet"/>
        <w:ind w:left="283"/>
      </w:pPr>
      <w:r/>
      <w:r>
        <w:rPr>
          <w:sz w:val="22"/>
        </w:rPr>
        <w:t>Droit d'accès du collaborateur aux alertes le concernant, à formuler auprès du DPO</w:t>
      </w:r>
    </w:p>
    <w:p>
      <w:pPr>
        <w:keepNext/>
        <w:spacing w:before="360" w:after="160"/>
        <w:pBdr>
          <w:bottom w:val="single" w:sz="6" w:color="C9A961"/>
        </w:pBdr>
      </w:pPr>
      <w:r>
        <w:rPr>
          <w:b/>
          <w:color w:val="1F3A5F"/>
          <w:sz w:val="32"/>
        </w:rPr>
        <w:t>9  Indicateurs et reporting</w:t>
      </w:r>
    </w:p>
    <w:tbl>
      <w:tblPr>
        <w:tblW w:type="auto" w:w="0"/>
        <w:jc w:val="center"/>
        <w:tblLook w:firstColumn="1" w:firstRow="1" w:lastColumn="0" w:lastRow="0" w:noHBand="0" w:noVBand="1" w:val="04A0"/>
      </w:tblPr>
      <w:tblGrid>
        <w:gridCol w:w="4986"/>
        <w:gridCol w:w="4986"/>
      </w:tblGrid>
      <w:tr>
        <w:tc>
          <w:tcPr>
            <w:tcW w:type="dxa" w:w="5669"/>
            <w:shd w:fill="1F3A5F" w:val="clear"/>
            <w:tcBorders>
              <w:top w:val="single" w:sz="8" w:color="1F3A5F"/>
              <w:left w:val="single" w:sz="8" w:color="1F3A5F"/>
              <w:bottom w:val="single" w:sz="8" w:color="1F3A5F"/>
              <w:right w:val="single" w:sz="8" w:color="1F3A5F"/>
            </w:tcBorders>
          </w:tcPr>
          <w:p>
            <w:pPr>
              <w:jc w:val="center"/>
            </w:pPr>
            <w:r/>
            <w:r>
              <w:rPr>
                <w:b/>
                <w:color w:val="FFFFFF"/>
                <w:sz w:val="20"/>
              </w:rPr>
              <w:t>Indicateur</w:t>
            </w:r>
          </w:p>
        </w:tc>
        <w:tc>
          <w:tcPr>
            <w:tcW w:type="dxa" w:w="2835"/>
            <w:shd w:fill="1F3A5F" w:val="clear"/>
            <w:tcBorders>
              <w:top w:val="single" w:sz="8" w:color="1F3A5F"/>
              <w:left w:val="single" w:sz="8" w:color="1F3A5F"/>
              <w:bottom w:val="single" w:sz="8" w:color="1F3A5F"/>
              <w:right w:val="single" w:sz="8" w:color="1F3A5F"/>
            </w:tcBorders>
          </w:tcPr>
          <w:p>
            <w:pPr>
              <w:jc w:val="center"/>
            </w:pPr>
            <w:r/>
            <w:r>
              <w:rPr>
                <w:b/>
                <w:color w:val="FFFFFF"/>
                <w:sz w:val="20"/>
              </w:rPr>
              <w:t>Cible</w:t>
            </w:r>
          </w:p>
        </w:tc>
      </w:tr>
      <w:tr>
        <w:tc>
          <w:tcPr>
            <w:tcW w:type="dxa" w:w="5669"/>
            <w:tcBorders>
              <w:top w:val="single" w:sz="6" w:color="999999"/>
              <w:left w:val="single" w:sz="6" w:color="999999"/>
              <w:bottom w:val="single" w:sz="6" w:color="999999"/>
              <w:right w:val="single" w:sz="6" w:color="999999"/>
            </w:tcBorders>
          </w:tcPr>
          <w:p>
            <w:r/>
            <w:r>
              <w:rPr>
                <w:sz w:val="20"/>
              </w:rPr>
              <w:t>Couverture DLP endpoint</w:t>
            </w:r>
          </w:p>
        </w:tc>
        <w:tc>
          <w:tcPr>
            <w:tcW w:type="dxa" w:w="2835"/>
            <w:tcBorders>
              <w:top w:val="single" w:sz="6" w:color="999999"/>
              <w:left w:val="single" w:sz="6" w:color="999999"/>
              <w:bottom w:val="single" w:sz="6" w:color="999999"/>
              <w:right w:val="single" w:sz="6" w:color="999999"/>
            </w:tcBorders>
          </w:tcPr>
          <w:p>
            <w:r/>
            <w:r>
              <w:rPr>
                <w:sz w:val="20"/>
              </w:rPr>
              <w:t>&gt;= 95%</w:t>
            </w:r>
          </w:p>
        </w:tc>
      </w:tr>
      <w:tr>
        <w:tc>
          <w:tcPr>
            <w:tcW w:type="dxa" w:w="5669"/>
            <w:shd w:fill="F8F6F0" w:val="clear"/>
            <w:tcBorders>
              <w:top w:val="single" w:sz="6" w:color="999999"/>
              <w:left w:val="single" w:sz="6" w:color="999999"/>
              <w:bottom w:val="single" w:sz="6" w:color="999999"/>
              <w:right w:val="single" w:sz="6" w:color="999999"/>
            </w:tcBorders>
          </w:tcPr>
          <w:p>
            <w:r/>
            <w:r>
              <w:rPr>
                <w:sz w:val="20"/>
              </w:rPr>
              <w:t>Couverture CASB sur SaaS critique</w:t>
            </w:r>
          </w:p>
        </w:tc>
        <w:tc>
          <w:tcPr>
            <w:tcW w:type="dxa" w:w="2835"/>
            <w:shd w:fill="F8F6F0" w:val="clear"/>
            <w:tcBorders>
              <w:top w:val="single" w:sz="6" w:color="999999"/>
              <w:left w:val="single" w:sz="6" w:color="999999"/>
              <w:bottom w:val="single" w:sz="6" w:color="999999"/>
              <w:right w:val="single" w:sz="6" w:color="999999"/>
            </w:tcBorders>
          </w:tcPr>
          <w:p>
            <w:r/>
            <w:r>
              <w:rPr>
                <w:sz w:val="20"/>
              </w:rPr>
              <w:t>100%</w:t>
            </w:r>
          </w:p>
        </w:tc>
      </w:tr>
      <w:tr>
        <w:tc>
          <w:tcPr>
            <w:tcW w:type="dxa" w:w="5669"/>
            <w:tcBorders>
              <w:top w:val="single" w:sz="6" w:color="999999"/>
              <w:left w:val="single" w:sz="6" w:color="999999"/>
              <w:bottom w:val="single" w:sz="6" w:color="999999"/>
              <w:right w:val="single" w:sz="6" w:color="999999"/>
            </w:tcBorders>
          </w:tcPr>
          <w:p>
            <w:r/>
            <w:r>
              <w:rPr>
                <w:sz w:val="20"/>
              </w:rPr>
              <w:t>Taux d'alertes traitées sous 24h</w:t>
            </w:r>
          </w:p>
        </w:tc>
        <w:tc>
          <w:tcPr>
            <w:tcW w:type="dxa" w:w="2835"/>
            <w:tcBorders>
              <w:top w:val="single" w:sz="6" w:color="999999"/>
              <w:left w:val="single" w:sz="6" w:color="999999"/>
              <w:bottom w:val="single" w:sz="6" w:color="999999"/>
              <w:right w:val="single" w:sz="6" w:color="999999"/>
            </w:tcBorders>
          </w:tcPr>
          <w:p>
            <w:r/>
            <w:r>
              <w:rPr>
                <w:sz w:val="20"/>
              </w:rPr>
              <w:t>&gt;= 90%</w:t>
            </w:r>
          </w:p>
        </w:tc>
      </w:tr>
      <w:tr>
        <w:tc>
          <w:tcPr>
            <w:tcW w:type="dxa" w:w="5669"/>
            <w:shd w:fill="F8F6F0" w:val="clear"/>
            <w:tcBorders>
              <w:top w:val="single" w:sz="6" w:color="999999"/>
              <w:left w:val="single" w:sz="6" w:color="999999"/>
              <w:bottom w:val="single" w:sz="6" w:color="999999"/>
              <w:right w:val="single" w:sz="6" w:color="999999"/>
            </w:tcBorders>
          </w:tcPr>
          <w:p>
            <w:r/>
            <w:r>
              <w:rPr>
                <w:sz w:val="20"/>
              </w:rPr>
              <w:t>Taux de fausses positives</w:t>
            </w:r>
          </w:p>
        </w:tc>
        <w:tc>
          <w:tcPr>
            <w:tcW w:type="dxa" w:w="2835"/>
            <w:shd w:fill="F8F6F0" w:val="clear"/>
            <w:tcBorders>
              <w:top w:val="single" w:sz="6" w:color="999999"/>
              <w:left w:val="single" w:sz="6" w:color="999999"/>
              <w:bottom w:val="single" w:sz="6" w:color="999999"/>
              <w:right w:val="single" w:sz="6" w:color="999999"/>
            </w:tcBorders>
          </w:tcPr>
          <w:p>
            <w:r/>
            <w:r>
              <w:rPr>
                <w:sz w:val="20"/>
              </w:rPr>
              <w:t>&lt; 25%</w:t>
            </w:r>
          </w:p>
        </w:tc>
      </w:tr>
      <w:tr>
        <w:tc>
          <w:tcPr>
            <w:tcW w:type="dxa" w:w="5669"/>
            <w:tcBorders>
              <w:top w:val="single" w:sz="6" w:color="999999"/>
              <w:left w:val="single" w:sz="6" w:color="999999"/>
              <w:bottom w:val="single" w:sz="6" w:color="999999"/>
              <w:right w:val="single" w:sz="6" w:color="999999"/>
            </w:tcBorders>
          </w:tcPr>
          <w:p>
            <w:r/>
            <w:r>
              <w:rPr>
                <w:sz w:val="20"/>
              </w:rPr>
              <w:t>Délai entre détection et containment</w:t>
            </w:r>
          </w:p>
        </w:tc>
        <w:tc>
          <w:tcPr>
            <w:tcW w:type="dxa" w:w="2835"/>
            <w:tcBorders>
              <w:top w:val="single" w:sz="6" w:color="999999"/>
              <w:left w:val="single" w:sz="6" w:color="999999"/>
              <w:bottom w:val="single" w:sz="6" w:color="999999"/>
              <w:right w:val="single" w:sz="6" w:color="999999"/>
            </w:tcBorders>
          </w:tcPr>
          <w:p>
            <w:r/>
            <w:r>
              <w:rPr>
                <w:sz w:val="20"/>
              </w:rPr>
              <w:t>&lt; 1h pour critique</w:t>
            </w:r>
          </w:p>
        </w:tc>
      </w:tr>
      <w:tr>
        <w:tc>
          <w:tcPr>
            <w:tcW w:type="dxa" w:w="5669"/>
            <w:shd w:fill="F8F6F0" w:val="clear"/>
            <w:tcBorders>
              <w:top w:val="single" w:sz="6" w:color="999999"/>
              <w:left w:val="single" w:sz="6" w:color="999999"/>
              <w:bottom w:val="single" w:sz="6" w:color="999999"/>
              <w:right w:val="single" w:sz="6" w:color="999999"/>
            </w:tcBorders>
          </w:tcPr>
          <w:p>
            <w:r/>
            <w:r>
              <w:rPr>
                <w:sz w:val="20"/>
              </w:rPr>
              <w:t>Tests exfiltration trimestriels réalisés</w:t>
            </w:r>
          </w:p>
        </w:tc>
        <w:tc>
          <w:tcPr>
            <w:tcW w:type="dxa" w:w="2835"/>
            <w:shd w:fill="F8F6F0" w:val="clear"/>
            <w:tcBorders>
              <w:top w:val="single" w:sz="6" w:color="999999"/>
              <w:left w:val="single" w:sz="6" w:color="999999"/>
              <w:bottom w:val="single" w:sz="6" w:color="999999"/>
              <w:right w:val="single" w:sz="6" w:color="999999"/>
            </w:tcBorders>
          </w:tcPr>
          <w:p>
            <w:r/>
            <w:r>
              <w:rPr>
                <w:sz w:val="20"/>
              </w:rPr>
              <w:t>100%</w:t>
            </w:r>
          </w:p>
        </w:tc>
      </w:tr>
    </w:tbl>
    <w:p>
      <w:pPr>
        <w:keepNext/>
        <w:spacing w:before="360" w:after="160"/>
        <w:pBdr>
          <w:bottom w:val="single" w:sz="6" w:color="C9A961"/>
        </w:pBdr>
      </w:pPr>
      <w:r>
        <w:rPr>
          <w:b/>
          <w:color w:val="1F3A5F"/>
          <w:sz w:val="32"/>
        </w:rPr>
        <w:t>10  Rôles et responsabilités</w:t>
      </w:r>
    </w:p>
    <w:p>
      <w:pPr>
        <w:pStyle w:val="ListBullet"/>
        <w:ind w:left="283"/>
      </w:pPr>
      <w:r/>
      <w:r>
        <w:rPr>
          <w:sz w:val="22"/>
        </w:rPr>
        <w:t>RSSI : pilote la politique, arbitre les exceptions, supervise les indicateurs</w:t>
      </w:r>
    </w:p>
    <w:p>
      <w:pPr>
        <w:pStyle w:val="ListBullet"/>
        <w:ind w:left="283"/>
      </w:pPr>
      <w:r/>
      <w:r>
        <w:rPr>
          <w:sz w:val="22"/>
        </w:rPr>
        <w:t>SOC : opère les alertes DLP, investigation, escalade</w:t>
      </w:r>
    </w:p>
    <w:p>
      <w:pPr>
        <w:pStyle w:val="ListBullet"/>
        <w:ind w:left="283"/>
      </w:pPr>
      <w:r/>
      <w:r>
        <w:rPr>
          <w:sz w:val="22"/>
        </w:rPr>
        <w:t>DPO : valide conformité RGPD, instruit les demandes des personnes</w:t>
      </w:r>
    </w:p>
    <w:p>
      <w:pPr>
        <w:pStyle w:val="ListBullet"/>
        <w:ind w:left="283"/>
      </w:pPr>
      <w:r/>
      <w:r>
        <w:rPr>
          <w:sz w:val="22"/>
        </w:rPr>
        <w:t>DSI : déploie et maintient les outils DLP</w:t>
      </w:r>
    </w:p>
    <w:p>
      <w:pPr>
        <w:pStyle w:val="ListBullet"/>
        <w:ind w:left="283"/>
      </w:pPr>
      <w:r/>
      <w:r>
        <w:rPr>
          <w:sz w:val="22"/>
        </w:rPr>
        <w:t>Managers : participent à la qualification d'incidents impliquant leurs équipes</w:t>
      </w:r>
    </w:p>
    <w:p>
      <w:pPr>
        <w:pStyle w:val="ListBullet"/>
        <w:ind w:left="283"/>
      </w:pPr>
      <w:r/>
      <w:r>
        <w:rPr>
          <w:sz w:val="22"/>
        </w:rPr>
        <w:t>Collaborateurs : respectent la politique, signalent les faux positifs</w:t>
      </w:r>
    </w:p>
    <w:p>
      <w:pPr>
        <w:keepNext/>
        <w:spacing w:before="360" w:after="160"/>
        <w:pBdr>
          <w:bottom w:val="single" w:sz="6" w:color="C9A961"/>
        </w:pBdr>
      </w:pPr>
      <w:r>
        <w:rPr>
          <w:b/>
          <w:color w:val="1F3A5F"/>
          <w:sz w:val="32"/>
        </w:rPr>
        <w:t>11  Revue et amélioration</w:t>
      </w:r>
    </w:p>
    <w:p>
      <w:pPr>
        <w:pStyle w:val="ListBullet"/>
        <w:ind w:left="283"/>
      </w:pPr>
      <w:r/>
      <w:r>
        <w:rPr>
          <w:sz w:val="22"/>
        </w:rPr>
        <w:t>Revue annuelle de la politique en revue de direction</w:t>
      </w:r>
    </w:p>
    <w:p>
      <w:pPr>
        <w:pStyle w:val="ListBullet"/>
        <w:ind w:left="283"/>
      </w:pPr>
      <w:r/>
      <w:r>
        <w:rPr>
          <w:sz w:val="22"/>
        </w:rPr>
        <w:t>Revue mensuelle des règles DLP (tuning false positives, nouveaux patterns)</w:t>
      </w:r>
    </w:p>
    <w:p>
      <w:pPr>
        <w:pStyle w:val="ListBullet"/>
        <w:ind w:left="283"/>
      </w:pPr>
      <w:r/>
      <w:r>
        <w:rPr>
          <w:sz w:val="22"/>
        </w:rPr>
        <w:t>Retour d'expérience après chaque incident de fuite avéré</w:t>
      </w:r>
    </w:p>
    <w:p>
      <w:pPr>
        <w:keepNext/>
        <w:spacing w:before="360" w:after="160"/>
        <w:pBdr>
          <w:bottom w:val="single" w:sz="6" w:color="C9A961"/>
        </w:pBdr>
      </w:pPr>
      <w:r>
        <w:rPr>
          <w:b/>
          <w:color w:val="1F3A5F"/>
          <w:sz w:val="32"/>
        </w:rPr>
        <w:t>12  Validation et signatures</w:t>
      </w:r>
    </w:p>
    <w:p>
      <w:pPr>
        <w:keepNext/>
        <w:spacing w:before="280" w:after="120"/>
      </w:pPr>
      <w:r>
        <w:rPr>
          <w:b/>
          <w:color w:val="1F3A5F"/>
          <w:sz w:val="26"/>
        </w:rPr>
        <w:t>—  Signatures et approbation</w:t>
      </w:r>
    </w:p>
    <w:tbl>
      <w:tblPr>
        <w:tblW w:type="auto" w:w="0"/>
        <w:jc w:val="center"/>
        <w:tblLook w:firstColumn="1" w:firstRow="1" w:lastColumn="0" w:lastRow="0" w:noHBand="0" w:noVBand="1" w:val="04A0"/>
      </w:tblPr>
      <w:tblGrid>
        <w:gridCol w:w="3324"/>
        <w:gridCol w:w="3324"/>
        <w:gridCol w:w="3324"/>
      </w:tblGrid>
      <w:tr>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Rédigé par</w:t>
            </w:r>
          </w:p>
        </w:tc>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Vérifié par</w:t>
            </w:r>
          </w:p>
        </w:tc>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Approuvé par</w:t>
            </w:r>
          </w:p>
        </w:tc>
      </w:tr>
      <w:tr>
        <w:tc>
          <w:tcPr>
            <w:tcW w:type="dxa" w:w="3324"/>
            <w:tcBorders>
              <w:top w:val="single" w:sz="6" w:color="999999"/>
              <w:left w:val="single" w:sz="6" w:color="999999"/>
              <w:bottom w:val="single" w:sz="6" w:color="999999"/>
              <w:right w:val="single" w:sz="6" w:color="999999"/>
            </w:tcBorders>
          </w:tcPr>
          <w:p>
            <w:r/>
            <w:r>
              <w:rPr>
                <w:sz w:val="20"/>
              </w:rPr>
              <w:t>RSSI / Pilote SMSI</w:t>
              <w:br/>
              <w:t>Nom : ____________________</w:t>
              <w:br/>
              <w:t>Date : ____________________</w:t>
              <w:br/>
              <w:t>Signature :</w:t>
            </w:r>
          </w:p>
        </w:tc>
        <w:tc>
          <w:tcPr>
            <w:tcW w:type="dxa" w:w="3324"/>
            <w:tcBorders>
              <w:top w:val="single" w:sz="6" w:color="999999"/>
              <w:left w:val="single" w:sz="6" w:color="999999"/>
              <w:bottom w:val="single" w:sz="6" w:color="999999"/>
              <w:right w:val="single" w:sz="6" w:color="999999"/>
            </w:tcBorders>
          </w:tcPr>
          <w:p>
            <w:r/>
            <w:r>
              <w:rPr>
                <w:sz w:val="20"/>
              </w:rPr>
              <w:t>Comité sécurité</w:t>
              <w:br/>
              <w:t>Nom : ____________________</w:t>
              <w:br/>
              <w:t>Date : ____________________</w:t>
              <w:br/>
              <w:t>Signature :</w:t>
            </w:r>
          </w:p>
        </w:tc>
        <w:tc>
          <w:tcPr>
            <w:tcW w:type="dxa" w:w="3324"/>
            <w:tcBorders>
              <w:top w:val="single" w:sz="6" w:color="999999"/>
              <w:left w:val="single" w:sz="6" w:color="999999"/>
              <w:bottom w:val="single" w:sz="6" w:color="999999"/>
              <w:right w:val="single" w:sz="6" w:color="999999"/>
            </w:tcBorders>
          </w:tcPr>
          <w:p>
            <w:r/>
            <w:r>
              <w:rPr>
                <w:sz w:val="20"/>
              </w:rPr>
              <w:t>Direction générale</w:t>
              <w:br/>
              <w:t>Nom : ____________________</w:t>
              <w:br/>
              <w:t>Date : ____________________</w:t>
              <w:br/>
              <w:t>Signature :</w:t>
            </w:r>
          </w:p>
        </w:tc>
      </w:tr>
    </w:tbl>
    <w:sectPr w:rsidR="00FC693F" w:rsidRPr="0006063C" w:rsidSect="00034616">
      <w:headerReference w:type="default" r:id="rId9"/>
      <w:footerReference w:type="default" r:id="rId10"/>
      <w:pgSz w:w="12240" w:h="15840"/>
      <w:pgMar w:top="1247" w:right="1134" w:bottom="124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8"/>
      </w:rPr>
      <w:t xml:space="preserve">Politique DLP — Prévention de la fuite de données — ISO/IEC 27001:2022  |  Page </w:t>
    </w:r>
    <w:r>
      <w:fldChar w:fldCharType="begin"/>
      <w:instrText>PAGE</w:instrText>
      <w:fldChar w:fldCharType="end"/>
    </w:r>
    <w:r>
      <w:rPr>
        <w:color w:val="555555"/>
        <w:sz w:val="18"/>
      </w:rPr>
      <w:t xml:space="preserve"> / </w:t>
    </w:r>
    <w:r>
      <w:fldChar w:fldCharType="begin"/>
      <w:instrText>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b/>
        <w:color w:val="1F3A5F"/>
        <w:sz w:val="18"/>
      </w:rPr>
      <w:t>ayinedjimi-consultants.fr</w:t>
    </w:r>
    <w:r>
      <w:rPr>
        <w:i/>
        <w:color w:val="555555"/>
        <w:sz w:val="18"/>
      </w:rPr>
      <w:t xml:space="preserve">  |  ISO/IEC 27001:2022 — Template Gratuit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