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0"/>
        <w:jc w:val="center"/>
      </w:pPr>
      <w:r>
        <w:rPr>
          <w:b/>
          <w:color w:val="1F4E79"/>
          <w:sz w:val="22"/>
        </w:rPr>
        <w:t>ISO/IEC 27001:2022 — TEMPLATE GRATUIT</w:t>
      </w:r>
    </w:p>
    <w:p>
      <w:pPr>
        <w:spacing w:before="400"/>
        <w:jc w:val="center"/>
      </w:pPr>
      <w:r>
        <w:rPr>
          <w:b/>
          <w:color w:val="0B2545"/>
          <w:sz w:val="52"/>
        </w:rPr>
        <w:t>Politique de cryptographie</w:t>
      </w:r>
    </w:p>
    <w:p>
      <w:pPr>
        <w:jc w:val="center"/>
      </w:pPr>
      <w:r>
        <w:rPr>
          <w:i/>
          <w:color w:val="595959"/>
          <w:sz w:val="26"/>
        </w:rPr>
        <w:t>Conforme ISO/IEC 27001:2022 — A.8.24 / Annexe B RGS / ANSSI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Référence</w:t>
            </w:r>
          </w:p>
        </w:tc>
        <w:tc>
          <w:tcPr>
            <w:tcW w:type="dxa" w:w="3969"/>
          </w:tcPr>
          <w:p>
            <w:r>
              <w:t>TPL-ISO27001-XXXX-v1.0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3969"/>
          </w:tcPr>
          <w:p>
            <w:r>
              <w:t>1.0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Date d'émission</w:t>
            </w:r>
          </w:p>
        </w:tc>
        <w:tc>
          <w:tcPr>
            <w:tcW w:type="dxa" w:w="3969"/>
          </w:tcPr>
          <w:p>
            <w:r>
              <w:t>—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Approuvé par</w:t>
            </w:r>
          </w:p>
        </w:tc>
        <w:tc>
          <w:tcPr>
            <w:tcW w:type="dxa" w:w="3969"/>
          </w:tcPr>
          <w:p>
            <w:r>
              <w:t>Direction Générale / RSSI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Classification</w:t>
            </w:r>
          </w:p>
        </w:tc>
        <w:tc>
          <w:tcPr>
            <w:tcW w:type="dxa" w:w="3969"/>
          </w:tcPr>
          <w:p>
            <w:r>
              <w:t>Interne</w:t>
            </w:r>
          </w:p>
        </w:tc>
      </w:tr>
    </w:tbl>
    <w:p>
      <w:r>
        <w:br w:type="page"/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Sommaire</w:t>
      </w:r>
    </w:p>
    <w:p>
      <w:pPr>
        <w:spacing w:after="60"/>
      </w:pPr>
      <w:r>
        <w:rPr>
          <w:sz w:val="22"/>
        </w:rPr>
        <w:t>1. Objet et portée</w:t>
      </w:r>
    </w:p>
    <w:p>
      <w:pPr>
        <w:spacing w:after="60"/>
      </w:pPr>
      <w:r>
        <w:rPr>
          <w:sz w:val="22"/>
        </w:rPr>
        <w:t>2. Référentiels appliqués</w:t>
      </w:r>
    </w:p>
    <w:p>
      <w:pPr>
        <w:spacing w:after="60"/>
      </w:pPr>
      <w:r>
        <w:rPr>
          <w:sz w:val="22"/>
        </w:rPr>
        <w:t>3. Algorithmes et tailles de clé autorisés</w:t>
      </w:r>
    </w:p>
    <w:p>
      <w:pPr>
        <w:spacing w:after="60"/>
      </w:pPr>
      <w:r>
        <w:rPr>
          <w:sz w:val="22"/>
        </w:rPr>
        <w:t>4. Gestion du cycle de vie des clés</w:t>
      </w:r>
    </w:p>
    <w:p>
      <w:pPr>
        <w:spacing w:after="60"/>
      </w:pPr>
      <w:r>
        <w:rPr>
          <w:sz w:val="22"/>
        </w:rPr>
        <w:t>5. Hardware Security Module et KMS</w:t>
      </w:r>
    </w:p>
    <w:p>
      <w:pPr>
        <w:spacing w:after="60"/>
      </w:pPr>
      <w:r>
        <w:rPr>
          <w:sz w:val="22"/>
        </w:rPr>
        <w:t>6. Cas d'usage et règles</w:t>
      </w:r>
    </w:p>
    <w:p>
      <w:pPr>
        <w:spacing w:after="60"/>
      </w:pPr>
      <w:r>
        <w:rPr>
          <w:sz w:val="22"/>
        </w:rPr>
        <w:t>7. Rotation et renouvellement</w:t>
      </w:r>
    </w:p>
    <w:p>
      <w:pPr>
        <w:spacing w:after="60"/>
      </w:pPr>
      <w:r>
        <w:rPr>
          <w:sz w:val="22"/>
        </w:rPr>
        <w:t>8. Destruction des clés</w:t>
      </w:r>
    </w:p>
    <w:p>
      <w:pPr>
        <w:spacing w:after="60"/>
      </w:pPr>
      <w:r>
        <w:rPr>
          <w:sz w:val="22"/>
        </w:rPr>
        <w:t>9. Audit et journalisation</w:t>
      </w:r>
    </w:p>
    <w:p>
      <w:r>
        <w:br w:type="page"/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1. Objet et portée</w:t>
      </w:r>
    </w:p>
    <w:p>
      <w:pPr>
        <w:spacing w:line="312" w:lineRule="auto"/>
        <w:jc w:val="both"/>
      </w:pPr>
      <w:r>
        <w:t>La présente politique définit les exigences cryptographiques applicables à l'ensemble des systèmes d'information de l'organisation, en application du contrôle A.8.24 « Utilisation de la cryptographie » de la norme ISO/IEC 27001:2022 et des recommandations de l'ANSSI (RGS v2.0, Annexe B1/B2/B3).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2. Référentiels appliqués</w:t>
      </w:r>
    </w:p>
    <w:p>
      <w:pPr>
        <w:pStyle w:val="ListBullet"/>
        <w:spacing w:after="40"/>
      </w:pPr>
      <w:r>
        <w:t>ANSSI — Référentiel Général de Sécurité (RGS) v2.0 — Annexes B1, B2, B3.</w:t>
      </w:r>
    </w:p>
    <w:p>
      <w:pPr>
        <w:pStyle w:val="ListBullet"/>
        <w:spacing w:after="40"/>
      </w:pPr>
      <w:r>
        <w:t>ANSSI — Guide « Recommandations sur le choix de paramètres cryptographiques » (octobre 2021).</w:t>
      </w:r>
    </w:p>
    <w:p>
      <w:pPr>
        <w:pStyle w:val="ListBullet"/>
        <w:spacing w:after="40"/>
      </w:pPr>
      <w:r>
        <w:t>NIST FIPS 140-3 — Security Requirements for Cryptographic Modules.</w:t>
      </w:r>
    </w:p>
    <w:p>
      <w:pPr>
        <w:pStyle w:val="ListBullet"/>
        <w:spacing w:after="40"/>
      </w:pPr>
      <w:r>
        <w:t>NIST SP 800-57 — Key Management.</w:t>
      </w:r>
    </w:p>
    <w:p>
      <w:pPr>
        <w:pStyle w:val="ListBullet"/>
        <w:spacing w:after="40"/>
      </w:pPr>
      <w:r>
        <w:t>ISO/IEC 11770 (gestion des clés) et ISO/IEC 19790 (modules cryptographiques).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3. Algorithmes et tailles de clé autorisés</w:t>
      </w:r>
    </w:p>
    <w:p>
      <w:pPr>
        <w:spacing w:before="240" w:after="80"/>
      </w:pPr>
      <w:r>
        <w:rPr>
          <w:b/>
          <w:color w:val="1F4E79"/>
          <w:sz w:val="26"/>
        </w:rPr>
        <w:t>3.1 Chiffrement symétrique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Algorithme</w:t>
            </w:r>
          </w:p>
        </w:tc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Mode</w:t>
            </w:r>
          </w:p>
        </w:tc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Taille de clé</w:t>
            </w:r>
          </w:p>
        </w:tc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Usage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AES (AES-NI matériel obligatoire)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GCM, GCM-SIV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256 bits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Recommandé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AES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CTR + HMAC-SHA-256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256 bits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Autorisé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ChaCha20-Poly1305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AEAD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256 bits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Autorisé (alternative)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AES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CBC + HMAC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128 bits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Toléré jusqu'à 2028 (legacy)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3DES, DES, RC4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INTERDITS</w:t>
            </w:r>
          </w:p>
        </w:tc>
      </w:tr>
    </w:tbl>
    <w:p>
      <w:pPr>
        <w:spacing w:before="240" w:after="80"/>
      </w:pPr>
      <w:r>
        <w:rPr>
          <w:b/>
          <w:color w:val="1F4E79"/>
          <w:sz w:val="26"/>
        </w:rPr>
        <w:t>3.2 Chiffrement asymétrique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Algorithme</w:t>
            </w:r>
          </w:p>
        </w:tc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Taille</w:t>
            </w:r>
          </w:p>
        </w:tc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Usage</w:t>
            </w:r>
          </w:p>
        </w:tc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Statut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RSA-OAEP / RSA-PSS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≥ 3072 bits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Chiffrement, signature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Recommandé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RSA-OAEP / RSA-PSS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≥ 2048 bits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Legacy uniquement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Toléré jusqu'à 2030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ECDSA / ECDH (P-256, P-384)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256-384 bits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Signature, échange de clés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Recommandé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Ed25519 / X25519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256 bits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Signature, échange de clés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Recommandé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DSA, ECDSA P-224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INTERDITS</w:t>
            </w:r>
          </w:p>
        </w:tc>
      </w:tr>
    </w:tbl>
    <w:p>
      <w:pPr>
        <w:spacing w:before="240" w:after="80"/>
      </w:pPr>
      <w:r>
        <w:rPr>
          <w:b/>
          <w:color w:val="1F4E79"/>
          <w:sz w:val="26"/>
        </w:rPr>
        <w:t>3.3 Fonctions de hachage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Algorithme</w:t>
            </w:r>
          </w:p>
        </w:tc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Sortie</w:t>
            </w:r>
          </w:p>
        </w:tc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Usage</w:t>
            </w:r>
          </w:p>
        </w:tc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Statut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SHA-256, SHA-384, SHA-512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256-512 bits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Tous usages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Recommandé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SHA-3 (Keccak)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256-512 bits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Tous usages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Recommandé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Argon2id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Stockage de mots de passe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Recommandé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bcrypt (coût ≥ 12)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Stockage de mots de passe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Toléré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MD5, SHA-1, RIPEMD-160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INTERDITS</w:t>
            </w:r>
          </w:p>
        </w:tc>
      </w:tr>
    </w:tbl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4. Gestion du cycle de vie des clés</w:t>
      </w:r>
    </w:p>
    <w:p>
      <w:pPr>
        <w:spacing w:line="312" w:lineRule="auto"/>
        <w:jc w:val="both"/>
      </w:pPr>
      <w:r>
        <w:t>Le cycle de vie d'une clé cryptographique comprend les phases suivantes :</w:t>
      </w:r>
    </w:p>
    <w:p>
      <w:pPr>
        <w:pStyle w:val="ListNumber"/>
        <w:spacing w:after="40"/>
      </w:pPr>
      <w:r>
        <w:t>Génération : dans un module FIPS 140-3 niveau 2 minimum (niveau 3 pour clés racines).</w:t>
      </w:r>
    </w:p>
    <w:p>
      <w:pPr>
        <w:pStyle w:val="ListNumber"/>
        <w:spacing w:after="40"/>
      </w:pPr>
      <w:r>
        <w:t>Distribution sécurisée (canaux protégés, key wrapping).</w:t>
      </w:r>
    </w:p>
    <w:p>
      <w:pPr>
        <w:pStyle w:val="ListNumber"/>
        <w:spacing w:after="40"/>
      </w:pPr>
      <w:r>
        <w:t>Activation et stockage (HSM / KMS).</w:t>
      </w:r>
    </w:p>
    <w:p>
      <w:pPr>
        <w:pStyle w:val="ListNumber"/>
        <w:spacing w:after="40"/>
      </w:pPr>
      <w:r>
        <w:t>Utilisation conforme aux usages autorisés (key usage strict).</w:t>
      </w:r>
    </w:p>
    <w:p>
      <w:pPr>
        <w:pStyle w:val="ListNumber"/>
        <w:spacing w:after="40"/>
      </w:pPr>
      <w:r>
        <w:t>Sauvegarde sécurisée (escrow chiffré, séparation des rôles M of N).</w:t>
      </w:r>
    </w:p>
    <w:p>
      <w:pPr>
        <w:pStyle w:val="ListNumber"/>
        <w:spacing w:after="40"/>
      </w:pPr>
      <w:r>
        <w:t>Rotation périodique ou événementielle.</w:t>
      </w:r>
    </w:p>
    <w:p>
      <w:pPr>
        <w:pStyle w:val="ListNumber"/>
        <w:spacing w:after="40"/>
      </w:pPr>
      <w:r>
        <w:t>Révocation / destruction sécurisée.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5. Hardware Security Module et KMS</w:t>
      </w:r>
    </w:p>
    <w:p>
      <w:pPr>
        <w:pStyle w:val="ListBullet"/>
        <w:spacing w:after="40"/>
      </w:pPr>
      <w:r>
        <w:t>Les clés racines (Root CA, KMS master keys) sont protégées par HSM certifié FIPS 140-3 niveau 3 ou Critères Communs EAL4+.</w:t>
      </w:r>
    </w:p>
    <w:p>
      <w:pPr>
        <w:pStyle w:val="ListBullet"/>
        <w:spacing w:after="40"/>
      </w:pPr>
      <w:r>
        <w:t>Les clés intermédiaires et applicatives sont gérées via un KMS de niveau entreprise (AWS KMS, Azure Key Vault HSM, GCP KMS, Thales CipherTrust).</w:t>
      </w:r>
    </w:p>
    <w:p>
      <w:pPr>
        <w:pStyle w:val="ListBullet"/>
        <w:spacing w:after="40"/>
      </w:pPr>
      <w:r>
        <w:t>Accès à la console HSM : 2FA obligatoire + séparation des rôles (officier sécurité / opérateur / auditeur).</w:t>
      </w:r>
    </w:p>
    <w:p>
      <w:pPr>
        <w:pStyle w:val="ListBullet"/>
        <w:spacing w:after="40"/>
      </w:pPr>
      <w:r>
        <w:t>Cérémonies de clés filmées et archivées pendant 10 ans.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6. Cas d'usage et règles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Cas d'usage</w:t>
            </w:r>
          </w:p>
        </w:tc>
        <w:tc>
          <w:tcPr>
            <w:tcW w:type="dxa" w:w="4873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Exigence cryptographique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Chiffrement disque postes &amp; serveurs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AES-256-XTS (BitLocker, FileVault, LUKS)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Chiffrement repos bases de données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TDE + clés KMS, AES-256-GCM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Chiffrement transit HTTPS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TLS 1.3 préféré, TLS 1.2 minimum (Mozilla Intermediate)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Chiffrement transit VPN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IPsec IKEv2 AES-256-GCM + SHA-384 + ECDH P-384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Signature d'email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S/MIME RSA-3072 ou Ed25519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Stockage mot de passe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Argon2id (m=64MB, t=3, p=4)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JWT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RS256 (RSA-2048+) ou ES256 (ECDSA P-256), HS256 interdit pour services exposés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Authentification API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OAuth 2.0 + PKCE, JWT signés (RS256/ES256)</w:t>
            </w:r>
          </w:p>
        </w:tc>
      </w:tr>
    </w:tbl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7. Rotation et renouvellement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Type de clé</w:t>
            </w:r>
          </w:p>
        </w:tc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Fréquence rotation</w:t>
            </w:r>
          </w:p>
        </w:tc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Conditions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Clés de chiffrement disque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Tous les 5 ans ou changement matériel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Re-chiffrement complet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Clés de chiffrement BDD (DEK)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Annuelle (re-key automatique)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Sans interruption de service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Clés racines KMS (KEK)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Tous les 5 ans (cérémonie)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Séparation M of N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Certificats TLS serveurs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Tous les 90 jours (ACME) ou annuelle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Automatisation obligatoire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Certificats utilisateurs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Tous les 2 ans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Renouvellement avant expiration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Clés de session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À chaque session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PFS — Perfect Forward Secrecy</w:t>
            </w:r>
          </w:p>
        </w:tc>
      </w:tr>
    </w:tbl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8. Destruction des clés</w:t>
      </w:r>
    </w:p>
    <w:p>
      <w:pPr>
        <w:spacing w:line="312" w:lineRule="auto"/>
        <w:jc w:val="both"/>
      </w:pPr>
      <w:r>
        <w:t>À la fin de leur cycle de vie, les clés sont détruites selon les principes suivants :</w:t>
      </w:r>
    </w:p>
    <w:p>
      <w:pPr>
        <w:pStyle w:val="ListBullet"/>
        <w:spacing w:after="40"/>
      </w:pPr>
      <w:r>
        <w:t>Effacement cryptographique (crypto-shredding) pour les supports chiffrés.</w:t>
      </w:r>
    </w:p>
    <w:p>
      <w:pPr>
        <w:pStyle w:val="ListBullet"/>
        <w:spacing w:after="40"/>
      </w:pPr>
      <w:r>
        <w:t>Destruction physique des HSM en fin de vie par prestataire certifié (broyage, démagnétisation).</w:t>
      </w:r>
    </w:p>
    <w:p>
      <w:pPr>
        <w:pStyle w:val="ListBullet"/>
        <w:spacing w:after="40"/>
      </w:pPr>
      <w:r>
        <w:t>Génération d'un certificat de destruction signé par 2 témoins (officier sécurité + auditeur).</w:t>
      </w:r>
    </w:p>
    <w:p>
      <w:pPr>
        <w:pStyle w:val="ListBullet"/>
        <w:spacing w:after="40"/>
      </w:pPr>
      <w:r>
        <w:t>Conservation du certificat de destruction pendant 10 ans minimum.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9. Audit et journalisation</w:t>
      </w:r>
    </w:p>
    <w:p>
      <w:pPr>
        <w:pStyle w:val="ListBullet"/>
        <w:spacing w:after="40"/>
      </w:pPr>
      <w:r>
        <w:t>Toutes les opérations sur clés (création, utilisation, rotation, destruction) sont journalisées dans le SIEM.</w:t>
      </w:r>
    </w:p>
    <w:p>
      <w:pPr>
        <w:pStyle w:val="ListBullet"/>
        <w:spacing w:after="40"/>
      </w:pPr>
      <w:r>
        <w:t>Audit annuel par un tiers qualifié PASSI ou équivalent.</w:t>
      </w:r>
    </w:p>
    <w:p>
      <w:pPr>
        <w:pStyle w:val="ListBullet"/>
        <w:spacing w:after="40"/>
      </w:pPr>
      <w:r>
        <w:t>Test annuel du plan de continuité de la cryptographie (perte d'une clé, compromission HSM).</w:t>
      </w:r>
    </w:p>
    <w:p>
      <w:pPr>
        <w:pStyle w:val="ListBullet"/>
        <w:spacing w:after="40"/>
      </w:pPr>
      <w:r>
        <w:t>Veille permanente sur les algorithmes (transition post-quantique anticipée — CRYSTALS-Kyber, Dilithium).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3213"/>
      <w:gridCol w:w="3213"/>
      <w:gridCol w:w="3213"/>
    </w:tblGrid>
    <w:tr>
      <w:tc>
        <w:tcPr>
          <w:tcW w:type="dxa" w:w="3213"/>
        </w:tcPr>
        <w:p>
          <w:r>
            <w:rPr>
              <w:color w:val="595959"/>
              <w:sz w:val="16"/>
            </w:rPr>
            <w:t>© Ayinedjimi Consultants — ayinedjimi-consultants.fr</w:t>
          </w:r>
        </w:p>
      </w:tc>
      <w:tc>
        <w:tcPr>
          <w:tcW w:type="dxa" w:w="3213"/>
        </w:tcPr>
        <w:p>
          <w:pPr>
            <w:jc w:val="center"/>
          </w:pPr>
          <w:r>
            <w:rPr>
              <w:color w:val="595959"/>
              <w:sz w:val="16"/>
            </w:rPr>
            <w:t>Document confidentiel — Usage interne</w:t>
          </w:r>
        </w:p>
      </w:tc>
      <w:tc>
        <w:tcPr>
          <w:tcW w:type="dxa" w:w="3213"/>
        </w:tcPr>
        <w:p>
          <w:pPr>
            <w:jc w:val="right"/>
          </w:pPr>
          <w:r>
            <w:rPr>
              <w:color w:val="595959"/>
              <w:sz w:val="16"/>
            </w:rPr>
            <w:t xml:space="preserve">Page </w:t>
            <w:fldSimple w:instr="PAGE \* MERGEFORMAT">
              <w:r>
                <w:t>1</w:t>
              </w:r>
            </w:fldSimple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819"/>
      <w:gridCol w:w="4819"/>
    </w:tblGrid>
    <w:tr>
      <w:tc>
        <w:tcPr>
          <w:tcW w:type="dxa" w:w="4819"/>
        </w:tcPr>
        <w:p>
          <w:pPr>
            <w:jc w:val="left"/>
          </w:pPr>
          <w:r>
            <w:rPr>
              <w:color w:val="595959"/>
              <w:sz w:val="18"/>
            </w:rPr>
            <w:t>ayinedjimi-consultants.fr</w:t>
          </w:r>
        </w:p>
      </w:tc>
      <w:tc>
        <w:tcPr>
          <w:tcW w:type="dxa" w:w="4819"/>
        </w:tcPr>
        <w:p>
          <w:pPr>
            <w:jc w:val="right"/>
          </w:pPr>
          <w:r>
            <w:rPr>
              <w:color w:val="595959"/>
              <w:sz w:val="18"/>
            </w:rPr>
            <w:t>ISO/IEC 27001:2022 — Template Gratuit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