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jc w:val="center"/>
      </w:pPr>
      <w:r>
        <w:rPr>
          <w:b/>
          <w:color w:val="1F4E79"/>
          <w:sz w:val="22"/>
        </w:rPr>
        <w:t>ISO/IEC 27001:2022 — TEMPLATE GRATUIT</w:t>
      </w:r>
    </w:p>
    <w:p>
      <w:pPr>
        <w:spacing w:before="400"/>
        <w:jc w:val="center"/>
      </w:pPr>
      <w:r>
        <w:rPr>
          <w:b/>
          <w:color w:val="0B2545"/>
          <w:sz w:val="52"/>
        </w:rPr>
        <w:t>Politique de classification de l'information</w:t>
      </w:r>
    </w:p>
    <w:p>
      <w:pPr>
        <w:jc w:val="center"/>
      </w:pPr>
      <w:r>
        <w:rPr>
          <w:i/>
          <w:color w:val="595959"/>
          <w:sz w:val="26"/>
        </w:rPr>
        <w:t>Conforme ISO/IEC 27001:2022 — A.5.12 / A.5.13 / A.5.14</w:t>
      </w:r>
    </w:p>
    <w:p/>
    <w:tbl>
      <w:tblPr>
        <w:tblW w:type="auto" w:w="0"/>
        <w:jc w:val="center"/>
        <w:tblLook w:firstColumn="1" w:firstRow="1" w:lastColumn="0" w:lastRow="0" w:noHBand="0" w:noVBand="1" w:val="04A0"/>
      </w:tblPr>
      <w:tblGrid>
        <w:gridCol w:w="4873"/>
        <w:gridCol w:w="4873"/>
      </w:tblGrid>
      <w:tr>
        <w:tc>
          <w:tcPr>
            <w:tcW w:type="dxa" w:w="3969"/>
            <w:shd w:val="clear" w:color="auto" w:fill="E7EAF1"/>
          </w:tcPr>
          <w:p>
            <w:r>
              <w:rPr>
                <w:b/>
              </w:rPr>
              <w:t>Référence</w:t>
            </w:r>
          </w:p>
        </w:tc>
        <w:tc>
          <w:tcPr>
            <w:tcW w:type="dxa" w:w="3969"/>
          </w:tcPr>
          <w:p>
            <w:r>
              <w:t>TPL-ISO27001-XXXX-v1.0</w:t>
            </w:r>
          </w:p>
        </w:tc>
      </w:tr>
      <w:tr>
        <w:tc>
          <w:tcPr>
            <w:tcW w:type="dxa" w:w="3969"/>
            <w:shd w:val="clear" w:color="auto" w:fill="E7EAF1"/>
          </w:tcPr>
          <w:p>
            <w:r>
              <w:rPr>
                <w:b/>
              </w:rPr>
              <w:t>Version</w:t>
            </w:r>
          </w:p>
        </w:tc>
        <w:tc>
          <w:tcPr>
            <w:tcW w:type="dxa" w:w="3969"/>
          </w:tcPr>
          <w:p>
            <w:r>
              <w:t>1.0</w:t>
            </w:r>
          </w:p>
        </w:tc>
      </w:tr>
      <w:tr>
        <w:tc>
          <w:tcPr>
            <w:tcW w:type="dxa" w:w="3969"/>
            <w:shd w:val="clear" w:color="auto" w:fill="E7EAF1"/>
          </w:tcPr>
          <w:p>
            <w:r>
              <w:rPr>
                <w:b/>
              </w:rPr>
              <w:t>Date d'émission</w:t>
            </w:r>
          </w:p>
        </w:tc>
        <w:tc>
          <w:tcPr>
            <w:tcW w:type="dxa" w:w="3969"/>
          </w:tcPr>
          <w:p>
            <w:r>
              <w:t>—</w:t>
            </w:r>
          </w:p>
        </w:tc>
      </w:tr>
      <w:tr>
        <w:tc>
          <w:tcPr>
            <w:tcW w:type="dxa" w:w="3969"/>
            <w:shd w:val="clear" w:color="auto" w:fill="E7EAF1"/>
          </w:tcPr>
          <w:p>
            <w:r>
              <w:rPr>
                <w:b/>
              </w:rPr>
              <w:t>Approuvé par</w:t>
            </w:r>
          </w:p>
        </w:tc>
        <w:tc>
          <w:tcPr>
            <w:tcW w:type="dxa" w:w="3969"/>
          </w:tcPr>
          <w:p>
            <w:r>
              <w:t>Direction Générale / RSSI</w:t>
            </w:r>
          </w:p>
        </w:tc>
      </w:tr>
      <w:tr>
        <w:tc>
          <w:tcPr>
            <w:tcW w:type="dxa" w:w="3969"/>
            <w:shd w:val="clear" w:color="auto" w:fill="E7EAF1"/>
          </w:tcPr>
          <w:p>
            <w:r>
              <w:rPr>
                <w:b/>
              </w:rPr>
              <w:t>Classification</w:t>
            </w:r>
          </w:p>
        </w:tc>
        <w:tc>
          <w:tcPr>
            <w:tcW w:type="dxa" w:w="3969"/>
          </w:tcPr>
          <w:p>
            <w:r>
              <w:t>Interne</w:t>
            </w:r>
          </w:p>
        </w:tc>
      </w:tr>
    </w:tbl>
    <w:p>
      <w:r>
        <w:br w:type="page"/>
      </w:r>
    </w:p>
    <w:p>
      <w:pPr>
        <w:spacing w:before="360" w:after="160"/>
        <w:pBdr>
          <w:bottom w:val="single" w:sz="8" w:space="1" w:color="1F4E79"/>
        </w:pBdr>
      </w:pPr>
      <w:r>
        <w:rPr>
          <w:b/>
          <w:color w:val="0B2545"/>
          <w:sz w:val="36"/>
        </w:rPr>
        <w:t>Sommaire</w:t>
      </w:r>
    </w:p>
    <w:p>
      <w:pPr>
        <w:spacing w:after="60"/>
      </w:pPr>
      <w:r>
        <w:rPr>
          <w:sz w:val="22"/>
        </w:rPr>
        <w:t>1. Objet et portée</w:t>
      </w:r>
    </w:p>
    <w:p>
      <w:pPr>
        <w:spacing w:after="60"/>
      </w:pPr>
      <w:r>
        <w:rPr>
          <w:sz w:val="22"/>
        </w:rPr>
        <w:t>2. Principes de classification</w:t>
      </w:r>
    </w:p>
    <w:p>
      <w:pPr>
        <w:spacing w:after="60"/>
      </w:pPr>
      <w:r>
        <w:rPr>
          <w:sz w:val="22"/>
        </w:rPr>
        <w:t>3. Niveaux de classification</w:t>
      </w:r>
    </w:p>
    <w:p>
      <w:pPr>
        <w:spacing w:after="60"/>
      </w:pPr>
      <w:r>
        <w:rPr>
          <w:sz w:val="22"/>
        </w:rPr>
        <w:t>4. Marquage des informations</w:t>
      </w:r>
    </w:p>
    <w:p>
      <w:pPr>
        <w:spacing w:after="60"/>
      </w:pPr>
      <w:r>
        <w:rPr>
          <w:sz w:val="22"/>
        </w:rPr>
        <w:t>5. Règles de stockage par niveau</w:t>
      </w:r>
    </w:p>
    <w:p>
      <w:pPr>
        <w:spacing w:after="60"/>
      </w:pPr>
      <w:r>
        <w:rPr>
          <w:sz w:val="22"/>
        </w:rPr>
        <w:t>6. Règles de transmission par niveau</w:t>
      </w:r>
    </w:p>
    <w:p>
      <w:pPr>
        <w:spacing w:after="60"/>
      </w:pPr>
      <w:r>
        <w:rPr>
          <w:sz w:val="22"/>
        </w:rPr>
        <w:t>7. Règles de destruction</w:t>
      </w:r>
    </w:p>
    <w:p>
      <w:pPr>
        <w:spacing w:after="60"/>
      </w:pPr>
      <w:r>
        <w:rPr>
          <w:sz w:val="22"/>
        </w:rPr>
        <w:t>8. Cas particuliers</w:t>
      </w:r>
    </w:p>
    <w:p>
      <w:pPr>
        <w:spacing w:after="60"/>
      </w:pPr>
      <w:r>
        <w:rPr>
          <w:sz w:val="22"/>
        </w:rPr>
        <w:t>9. Sanctions et exceptions</w:t>
      </w:r>
    </w:p>
    <w:p>
      <w:r>
        <w:br w:type="page"/>
      </w:r>
    </w:p>
    <w:p>
      <w:pPr>
        <w:spacing w:before="360" w:after="160"/>
        <w:pBdr>
          <w:bottom w:val="single" w:sz="8" w:space="1" w:color="1F4E79"/>
        </w:pBdr>
      </w:pPr>
      <w:r>
        <w:rPr>
          <w:b/>
          <w:color w:val="0B2545"/>
          <w:sz w:val="36"/>
        </w:rPr>
        <w:t>1. Objet et portée</w:t>
      </w:r>
    </w:p>
    <w:p>
      <w:pPr>
        <w:spacing w:line="312" w:lineRule="auto"/>
        <w:jc w:val="both"/>
      </w:pPr>
      <w:r>
        <w:t>La présente politique a pour objet d'établir le cadre de classification des informations détenues, traitées ou transmises par l'organisation, conformément aux contrôles A.5.12 « Classification des informations » et A.5.13 « Marquage des informations » de la norme ISO/IEC 27001:2022.</w:t>
      </w:r>
    </w:p>
    <w:p>
      <w:pPr>
        <w:spacing w:line="312" w:lineRule="auto"/>
        <w:jc w:val="both"/>
      </w:pPr>
      <w:r>
        <w:t>Elle s'applique à toutes les informations, quel que soit leur support (numérique, papier, oral, vidéo, audio), à l'ensemble des collaborateurs et à tout tiers ayant accès à ces informations.</w:t>
      </w:r>
    </w:p>
    <w:p>
      <w:pPr>
        <w:spacing w:before="360" w:after="160"/>
        <w:pBdr>
          <w:bottom w:val="single" w:sz="8" w:space="1" w:color="1F4E79"/>
        </w:pBdr>
      </w:pPr>
      <w:r>
        <w:rPr>
          <w:b/>
          <w:color w:val="0B2545"/>
          <w:sz w:val="36"/>
        </w:rPr>
        <w:t>2. Principes de classification</w:t>
      </w:r>
    </w:p>
    <w:p>
      <w:pPr>
        <w:pStyle w:val="ListBullet"/>
        <w:spacing w:after="40"/>
      </w:pPr>
      <w:r>
        <w:t>Toute information de l'organisation doit recevoir une classification.</w:t>
      </w:r>
    </w:p>
    <w:p>
      <w:pPr>
        <w:pStyle w:val="ListBullet"/>
        <w:spacing w:after="40"/>
      </w:pPr>
      <w:r>
        <w:t>La classification est de la responsabilité du propriétaire de l'actif d'information.</w:t>
      </w:r>
    </w:p>
    <w:p>
      <w:pPr>
        <w:pStyle w:val="ListBullet"/>
        <w:spacing w:after="40"/>
      </w:pPr>
      <w:r>
        <w:t>Elle s'appuie sur l'évaluation de la sensibilité (confidentialité, intégrité, disponibilité).</w:t>
      </w:r>
    </w:p>
    <w:p>
      <w:pPr>
        <w:pStyle w:val="ListBullet"/>
        <w:spacing w:after="40"/>
      </w:pPr>
      <w:r>
        <w:t>Elle conditionne les mesures de protection à mettre en œuvre (marquage, stockage, transmission, destruction).</w:t>
      </w:r>
    </w:p>
    <w:p>
      <w:pPr>
        <w:pStyle w:val="ListBullet"/>
        <w:spacing w:after="40"/>
      </w:pPr>
      <w:r>
        <w:t>Elle est revue lors de tout changement de contexte (cessation d'embargo, publication, fin de contrat).</w:t>
      </w:r>
    </w:p>
    <w:p>
      <w:pPr>
        <w:spacing w:before="360" w:after="160"/>
        <w:pBdr>
          <w:bottom w:val="single" w:sz="8" w:space="1" w:color="1F4E79"/>
        </w:pBdr>
      </w:pPr>
      <w:r>
        <w:rPr>
          <w:b/>
          <w:color w:val="0B2545"/>
          <w:sz w:val="36"/>
        </w:rPr>
        <w:t>3. Niveaux de classification</w:t>
      </w:r>
    </w:p>
    <w:tbl>
      <w:tblPr>
        <w:tblStyle w:val="LightGrid-Accent1"/>
        <w:tblW w:type="auto" w:w="0"/>
        <w:jc w:val="center"/>
        <w:tblLook w:firstColumn="1" w:firstRow="1" w:lastColumn="0" w:lastRow="0" w:noHBand="0" w:noVBand="1" w:val="04A0"/>
      </w:tblPr>
      <w:tblGrid>
        <w:gridCol w:w="2436"/>
        <w:gridCol w:w="2436"/>
        <w:gridCol w:w="2436"/>
        <w:gridCol w:w="2436"/>
      </w:tblGrid>
      <w:tr>
        <w:tc>
          <w:tcPr>
            <w:tcW w:type="dxa" w:w="2436"/>
            <w:shd w:val="clear" w:color="auto" w:fill="1F4E79"/>
            <w:vAlign w:val="center"/>
          </w:tcPr>
          <w:p>
            <w:pPr>
              <w:jc w:val="center"/>
            </w:pPr>
            <w:r>
              <w:rPr>
                <w:b/>
                <w:color w:val="FFFFFF"/>
                <w:sz w:val="20"/>
              </w:rPr>
              <w:t>Niveau</w:t>
            </w:r>
          </w:p>
        </w:tc>
        <w:tc>
          <w:tcPr>
            <w:tcW w:type="dxa" w:w="2436"/>
            <w:shd w:val="clear" w:color="auto" w:fill="1F4E79"/>
            <w:vAlign w:val="center"/>
          </w:tcPr>
          <w:p>
            <w:pPr>
              <w:jc w:val="center"/>
            </w:pPr>
            <w:r>
              <w:rPr>
                <w:b/>
                <w:color w:val="FFFFFF"/>
                <w:sz w:val="20"/>
              </w:rPr>
              <w:t>Définition</w:t>
            </w:r>
          </w:p>
        </w:tc>
        <w:tc>
          <w:tcPr>
            <w:tcW w:type="dxa" w:w="2436"/>
            <w:shd w:val="clear" w:color="auto" w:fill="1F4E79"/>
            <w:vAlign w:val="center"/>
          </w:tcPr>
          <w:p>
            <w:pPr>
              <w:jc w:val="center"/>
            </w:pPr>
            <w:r>
              <w:rPr>
                <w:b/>
                <w:color w:val="FFFFFF"/>
                <w:sz w:val="20"/>
              </w:rPr>
              <w:t>Exemples</w:t>
            </w:r>
          </w:p>
        </w:tc>
        <w:tc>
          <w:tcPr>
            <w:tcW w:type="dxa" w:w="2436"/>
            <w:shd w:val="clear" w:color="auto" w:fill="1F4E79"/>
            <w:vAlign w:val="center"/>
          </w:tcPr>
          <w:p>
            <w:pPr>
              <w:jc w:val="center"/>
            </w:pPr>
            <w:r>
              <w:rPr>
                <w:b/>
                <w:color w:val="FFFFFF"/>
                <w:sz w:val="20"/>
              </w:rPr>
              <w:t>Impact si divulgué</w:t>
            </w:r>
          </w:p>
        </w:tc>
      </w:tr>
      <w:tr>
        <w:tc>
          <w:tcPr>
            <w:tcW w:type="dxa" w:w="2436"/>
            <w:vAlign w:val="center"/>
          </w:tcPr>
          <w:p>
            <w:r>
              <w:rPr>
                <w:sz w:val="20"/>
              </w:rPr>
              <w:t>Public</w:t>
            </w:r>
          </w:p>
        </w:tc>
        <w:tc>
          <w:tcPr>
            <w:tcW w:type="dxa" w:w="2436"/>
            <w:vAlign w:val="center"/>
          </w:tcPr>
          <w:p>
            <w:r>
              <w:rPr>
                <w:sz w:val="20"/>
              </w:rPr>
              <w:t>Information destinée à être largement diffusée</w:t>
            </w:r>
          </w:p>
        </w:tc>
        <w:tc>
          <w:tcPr>
            <w:tcW w:type="dxa" w:w="2436"/>
            <w:vAlign w:val="center"/>
          </w:tcPr>
          <w:p>
            <w:r>
              <w:rPr>
                <w:sz w:val="20"/>
              </w:rPr>
              <w:t>Communiqués, site web, rapports annuels publiés</w:t>
            </w:r>
          </w:p>
        </w:tc>
        <w:tc>
          <w:tcPr>
            <w:tcW w:type="dxa" w:w="2436"/>
            <w:vAlign w:val="center"/>
          </w:tcPr>
          <w:p>
            <w:r>
              <w:rPr>
                <w:sz w:val="20"/>
              </w:rPr>
              <w:t>Aucun</w:t>
            </w:r>
          </w:p>
        </w:tc>
      </w:tr>
      <w:tr>
        <w:tc>
          <w:tcPr>
            <w:tcW w:type="dxa" w:w="2436"/>
            <w:vAlign w:val="center"/>
          </w:tcPr>
          <w:p>
            <w:r>
              <w:rPr>
                <w:sz w:val="20"/>
              </w:rPr>
              <w:t>Interne</w:t>
            </w:r>
          </w:p>
        </w:tc>
        <w:tc>
          <w:tcPr>
            <w:tcW w:type="dxa" w:w="2436"/>
            <w:vAlign w:val="center"/>
          </w:tcPr>
          <w:p>
            <w:r>
              <w:rPr>
                <w:sz w:val="20"/>
              </w:rPr>
              <w:t>Information à usage interne, non destinée aux tiers</w:t>
            </w:r>
          </w:p>
        </w:tc>
        <w:tc>
          <w:tcPr>
            <w:tcW w:type="dxa" w:w="2436"/>
            <w:vAlign w:val="center"/>
          </w:tcPr>
          <w:p>
            <w:r>
              <w:rPr>
                <w:sz w:val="20"/>
              </w:rPr>
              <w:t>Procédures, organigrammes, notes internes</w:t>
            </w:r>
          </w:p>
        </w:tc>
        <w:tc>
          <w:tcPr>
            <w:tcW w:type="dxa" w:w="2436"/>
            <w:vAlign w:val="center"/>
          </w:tcPr>
          <w:p>
            <w:r>
              <w:rPr>
                <w:sz w:val="20"/>
              </w:rPr>
              <w:t>Mineur — gêne organisationnelle</w:t>
            </w:r>
          </w:p>
        </w:tc>
      </w:tr>
      <w:tr>
        <w:tc>
          <w:tcPr>
            <w:tcW w:type="dxa" w:w="2436"/>
            <w:vAlign w:val="center"/>
          </w:tcPr>
          <w:p>
            <w:r>
              <w:rPr>
                <w:sz w:val="20"/>
              </w:rPr>
              <w:t>Confidentiel</w:t>
            </w:r>
          </w:p>
        </w:tc>
        <w:tc>
          <w:tcPr>
            <w:tcW w:type="dxa" w:w="2436"/>
            <w:vAlign w:val="center"/>
          </w:tcPr>
          <w:p>
            <w:r>
              <w:rPr>
                <w:sz w:val="20"/>
              </w:rPr>
              <w:t>Information dont la divulgation porterait atteinte aux intérêts</w:t>
            </w:r>
          </w:p>
        </w:tc>
        <w:tc>
          <w:tcPr>
            <w:tcW w:type="dxa" w:w="2436"/>
            <w:vAlign w:val="center"/>
          </w:tcPr>
          <w:p>
            <w:r>
              <w:rPr>
                <w:sz w:val="20"/>
              </w:rPr>
              <w:t>Données clients, contrats, données RH, codes source</w:t>
            </w:r>
          </w:p>
        </w:tc>
        <w:tc>
          <w:tcPr>
            <w:tcW w:type="dxa" w:w="2436"/>
            <w:vAlign w:val="center"/>
          </w:tcPr>
          <w:p>
            <w:r>
              <w:rPr>
                <w:sz w:val="20"/>
              </w:rPr>
              <w:t>Majeur — financier, réputationnel, RGPD</w:t>
            </w:r>
          </w:p>
        </w:tc>
      </w:tr>
      <w:tr>
        <w:tc>
          <w:tcPr>
            <w:tcW w:type="dxa" w:w="2436"/>
            <w:vAlign w:val="center"/>
          </w:tcPr>
          <w:p>
            <w:r>
              <w:rPr>
                <w:sz w:val="20"/>
              </w:rPr>
              <w:t>Restreint</w:t>
            </w:r>
          </w:p>
        </w:tc>
        <w:tc>
          <w:tcPr>
            <w:tcW w:type="dxa" w:w="2436"/>
            <w:vAlign w:val="center"/>
          </w:tcPr>
          <w:p>
            <w:r>
              <w:rPr>
                <w:sz w:val="20"/>
              </w:rPr>
              <w:t>Information dont la divulgation causerait un préjudice grave</w:t>
            </w:r>
          </w:p>
        </w:tc>
        <w:tc>
          <w:tcPr>
            <w:tcW w:type="dxa" w:w="2436"/>
            <w:vAlign w:val="center"/>
          </w:tcPr>
          <w:p>
            <w:r>
              <w:rPr>
                <w:sz w:val="20"/>
              </w:rPr>
              <w:t>Secrets industriels, données stratégiques, infos avant publication</w:t>
            </w:r>
          </w:p>
        </w:tc>
        <w:tc>
          <w:tcPr>
            <w:tcW w:type="dxa" w:w="2436"/>
            <w:vAlign w:val="center"/>
          </w:tcPr>
          <w:p>
            <w:r>
              <w:rPr>
                <w:sz w:val="20"/>
              </w:rPr>
              <w:t>Critique — atteinte vitale</w:t>
            </w:r>
          </w:p>
        </w:tc>
      </w:tr>
    </w:tbl>
    <w:p>
      <w:pPr>
        <w:spacing w:before="360" w:after="160"/>
        <w:pBdr>
          <w:bottom w:val="single" w:sz="8" w:space="1" w:color="1F4E79"/>
        </w:pBdr>
      </w:pPr>
      <w:r>
        <w:rPr>
          <w:b/>
          <w:color w:val="0B2545"/>
          <w:sz w:val="36"/>
        </w:rPr>
        <w:t>4. Marquage des informations</w:t>
      </w:r>
    </w:p>
    <w:p>
      <w:pPr>
        <w:spacing w:line="312" w:lineRule="auto"/>
        <w:jc w:val="both"/>
      </w:pPr>
      <w:r>
        <w:t>Tout document classifié doit porter une mention visible et lisible sur chaque page (en-tête ou pied de page) :</w:t>
      </w:r>
    </w:p>
    <w:p>
      <w:pPr>
        <w:pStyle w:val="ListBullet"/>
        <w:spacing w:after="40"/>
      </w:pPr>
      <w:r>
        <w:t>« Public » : marquage facultatif</w:t>
      </w:r>
    </w:p>
    <w:p>
      <w:pPr>
        <w:pStyle w:val="ListBullet"/>
        <w:spacing w:after="40"/>
      </w:pPr>
      <w:r>
        <w:t>« Interne » : marquage en pied de page, couleur grise</w:t>
      </w:r>
    </w:p>
    <w:p>
      <w:pPr>
        <w:pStyle w:val="ListBullet"/>
        <w:spacing w:after="40"/>
      </w:pPr>
      <w:r>
        <w:t>« CONFIDENTIEL » : marquage en en-tête et pied de page, couleur bleue, majuscules</w:t>
      </w:r>
    </w:p>
    <w:p>
      <w:pPr>
        <w:pStyle w:val="ListBullet"/>
        <w:spacing w:after="40"/>
      </w:pPr>
      <w:r>
        <w:t>« RESTREINT » : marquage en filigrane sur chaque page + en-tête/pied, couleur rouge, majuscules</w:t>
      </w:r>
    </w:p>
    <w:p>
      <w:pPr>
        <w:spacing w:line="312" w:lineRule="auto"/>
        <w:jc w:val="both"/>
      </w:pPr>
      <w:r>
        <w:t>Pour les fichiers numériques, le marquage est obligatoirement intégré dans les métadonnées (étiquettes Microsoft Purview / Azure Information Protection, ou équivalent) et visible à l'ouverture.</w:t>
      </w:r>
    </w:p>
    <w:p>
      <w:pPr>
        <w:spacing w:before="360" w:after="160"/>
        <w:pBdr>
          <w:bottom w:val="single" w:sz="8" w:space="1" w:color="1F4E79"/>
        </w:pBdr>
      </w:pPr>
      <w:r>
        <w:rPr>
          <w:b/>
          <w:color w:val="0B2545"/>
          <w:sz w:val="36"/>
        </w:rPr>
        <w:t>5. Règles de stockage par niveau</w:t>
      </w:r>
    </w:p>
    <w:tbl>
      <w:tblPr>
        <w:tblStyle w:val="LightGrid-Accent1"/>
        <w:tblW w:type="auto" w:w="0"/>
        <w:jc w:val="center"/>
        <w:tblLook w:firstColumn="1" w:firstRow="1" w:lastColumn="0" w:lastRow="0" w:noHBand="0" w:noVBand="1" w:val="04A0"/>
      </w:tblPr>
      <w:tblGrid>
        <w:gridCol w:w="3249"/>
        <w:gridCol w:w="3249"/>
        <w:gridCol w:w="3249"/>
      </w:tblGrid>
      <w:tr>
        <w:tc>
          <w:tcPr>
            <w:tcW w:type="dxa" w:w="3249"/>
            <w:shd w:val="clear" w:color="auto" w:fill="1F4E79"/>
            <w:vAlign w:val="center"/>
          </w:tcPr>
          <w:p>
            <w:pPr>
              <w:jc w:val="center"/>
            </w:pPr>
            <w:r>
              <w:rPr>
                <w:b/>
                <w:color w:val="FFFFFF"/>
                <w:sz w:val="20"/>
              </w:rPr>
              <w:t>Niveau</w:t>
            </w:r>
          </w:p>
        </w:tc>
        <w:tc>
          <w:tcPr>
            <w:tcW w:type="dxa" w:w="3249"/>
            <w:shd w:val="clear" w:color="auto" w:fill="1F4E79"/>
            <w:vAlign w:val="center"/>
          </w:tcPr>
          <w:p>
            <w:pPr>
              <w:jc w:val="center"/>
            </w:pPr>
            <w:r>
              <w:rPr>
                <w:b/>
                <w:color w:val="FFFFFF"/>
                <w:sz w:val="20"/>
              </w:rPr>
              <w:t>Stockage autorisé</w:t>
            </w:r>
          </w:p>
        </w:tc>
        <w:tc>
          <w:tcPr>
            <w:tcW w:type="dxa" w:w="3249"/>
            <w:shd w:val="clear" w:color="auto" w:fill="1F4E79"/>
            <w:vAlign w:val="center"/>
          </w:tcPr>
          <w:p>
            <w:pPr>
              <w:jc w:val="center"/>
            </w:pPr>
            <w:r>
              <w:rPr>
                <w:b/>
                <w:color w:val="FFFFFF"/>
                <w:sz w:val="20"/>
              </w:rPr>
              <w:t>Chiffrement repos</w:t>
            </w:r>
          </w:p>
        </w:tc>
      </w:tr>
      <w:tr>
        <w:tc>
          <w:tcPr>
            <w:tcW w:type="dxa" w:w="3249"/>
            <w:vAlign w:val="center"/>
          </w:tcPr>
          <w:p>
            <w:r>
              <w:rPr>
                <w:sz w:val="20"/>
              </w:rPr>
              <w:t>Public</w:t>
            </w:r>
          </w:p>
        </w:tc>
        <w:tc>
          <w:tcPr>
            <w:tcW w:type="dxa" w:w="3249"/>
            <w:vAlign w:val="center"/>
          </w:tcPr>
          <w:p>
            <w:r>
              <w:rPr>
                <w:sz w:val="20"/>
              </w:rPr>
              <w:t>Tous supports</w:t>
            </w:r>
          </w:p>
        </w:tc>
        <w:tc>
          <w:tcPr>
            <w:tcW w:type="dxa" w:w="3249"/>
            <w:vAlign w:val="center"/>
          </w:tcPr>
          <w:p>
            <w:r>
              <w:rPr>
                <w:sz w:val="20"/>
              </w:rPr>
              <w:t>Non requis</w:t>
            </w:r>
          </w:p>
        </w:tc>
      </w:tr>
      <w:tr>
        <w:tc>
          <w:tcPr>
            <w:tcW w:type="dxa" w:w="3249"/>
            <w:vAlign w:val="center"/>
          </w:tcPr>
          <w:p>
            <w:r>
              <w:rPr>
                <w:sz w:val="20"/>
              </w:rPr>
              <w:t>Interne</w:t>
            </w:r>
          </w:p>
        </w:tc>
        <w:tc>
          <w:tcPr>
            <w:tcW w:type="dxa" w:w="3249"/>
            <w:vAlign w:val="center"/>
          </w:tcPr>
          <w:p>
            <w:r>
              <w:rPr>
                <w:sz w:val="20"/>
              </w:rPr>
              <w:t>Espaces collaboratifs internes, postes utilisateurs</w:t>
            </w:r>
          </w:p>
        </w:tc>
        <w:tc>
          <w:tcPr>
            <w:tcW w:type="dxa" w:w="3249"/>
            <w:vAlign w:val="center"/>
          </w:tcPr>
          <w:p>
            <w:r>
              <w:rPr>
                <w:sz w:val="20"/>
              </w:rPr>
              <w:t>Recommandé</w:t>
            </w:r>
          </w:p>
        </w:tc>
      </w:tr>
      <w:tr>
        <w:tc>
          <w:tcPr>
            <w:tcW w:type="dxa" w:w="3249"/>
            <w:vAlign w:val="center"/>
          </w:tcPr>
          <w:p>
            <w:r>
              <w:rPr>
                <w:sz w:val="20"/>
              </w:rPr>
              <w:t>Confidentiel</w:t>
            </w:r>
          </w:p>
        </w:tc>
        <w:tc>
          <w:tcPr>
            <w:tcW w:type="dxa" w:w="3249"/>
            <w:vAlign w:val="center"/>
          </w:tcPr>
          <w:p>
            <w:r>
              <w:rPr>
                <w:sz w:val="20"/>
              </w:rPr>
              <w:t>Espaces dédiés avec contrôle d'accès, postes avec chiffrement disque</w:t>
            </w:r>
          </w:p>
        </w:tc>
        <w:tc>
          <w:tcPr>
            <w:tcW w:type="dxa" w:w="3249"/>
            <w:vAlign w:val="center"/>
          </w:tcPr>
          <w:p>
            <w:r>
              <w:rPr>
                <w:sz w:val="20"/>
              </w:rPr>
              <w:t>Obligatoire (AES-256)</w:t>
            </w:r>
          </w:p>
        </w:tc>
      </w:tr>
      <w:tr>
        <w:tc>
          <w:tcPr>
            <w:tcW w:type="dxa" w:w="3249"/>
            <w:vAlign w:val="center"/>
          </w:tcPr>
          <w:p>
            <w:r>
              <w:rPr>
                <w:sz w:val="20"/>
              </w:rPr>
              <w:t>Restreint</w:t>
            </w:r>
          </w:p>
        </w:tc>
        <w:tc>
          <w:tcPr>
            <w:tcW w:type="dxa" w:w="3249"/>
            <w:vAlign w:val="center"/>
          </w:tcPr>
          <w:p>
            <w:r>
              <w:rPr>
                <w:sz w:val="20"/>
              </w:rPr>
              <w:t>Coffres-forts numériques, environnements cloisonnés, accès tracé</w:t>
            </w:r>
          </w:p>
        </w:tc>
        <w:tc>
          <w:tcPr>
            <w:tcW w:type="dxa" w:w="3249"/>
            <w:vAlign w:val="center"/>
          </w:tcPr>
          <w:p>
            <w:r>
              <w:rPr>
                <w:sz w:val="20"/>
              </w:rPr>
              <w:t>Obligatoire + HSM/KMS dédié</w:t>
            </w:r>
          </w:p>
        </w:tc>
      </w:tr>
    </w:tbl>
    <w:p>
      <w:pPr>
        <w:spacing w:before="360" w:after="160"/>
        <w:pBdr>
          <w:bottom w:val="single" w:sz="8" w:space="1" w:color="1F4E79"/>
        </w:pBdr>
      </w:pPr>
      <w:r>
        <w:rPr>
          <w:b/>
          <w:color w:val="0B2545"/>
          <w:sz w:val="36"/>
        </w:rPr>
        <w:t>6. Règles de transmission par niveau</w:t>
      </w:r>
    </w:p>
    <w:tbl>
      <w:tblPr>
        <w:tblStyle w:val="LightGrid-Accent1"/>
        <w:tblW w:type="auto" w:w="0"/>
        <w:jc w:val="center"/>
        <w:tblLook w:firstColumn="1" w:firstRow="1" w:lastColumn="0" w:lastRow="0" w:noHBand="0" w:noVBand="1" w:val="04A0"/>
      </w:tblPr>
      <w:tblGrid>
        <w:gridCol w:w="2436"/>
        <w:gridCol w:w="2436"/>
        <w:gridCol w:w="2436"/>
        <w:gridCol w:w="2436"/>
      </w:tblGrid>
      <w:tr>
        <w:tc>
          <w:tcPr>
            <w:tcW w:type="dxa" w:w="2436"/>
            <w:shd w:val="clear" w:color="auto" w:fill="1F4E79"/>
            <w:vAlign w:val="center"/>
          </w:tcPr>
          <w:p>
            <w:pPr>
              <w:jc w:val="center"/>
            </w:pPr>
            <w:r>
              <w:rPr>
                <w:b/>
                <w:color w:val="FFFFFF"/>
                <w:sz w:val="20"/>
              </w:rPr>
              <w:t>Niveau</w:t>
            </w:r>
          </w:p>
        </w:tc>
        <w:tc>
          <w:tcPr>
            <w:tcW w:type="dxa" w:w="2436"/>
            <w:shd w:val="clear" w:color="auto" w:fill="1F4E79"/>
            <w:vAlign w:val="center"/>
          </w:tcPr>
          <w:p>
            <w:pPr>
              <w:jc w:val="center"/>
            </w:pPr>
            <w:r>
              <w:rPr>
                <w:b/>
                <w:color w:val="FFFFFF"/>
                <w:sz w:val="20"/>
              </w:rPr>
              <w:t>Email</w:t>
            </w:r>
          </w:p>
        </w:tc>
        <w:tc>
          <w:tcPr>
            <w:tcW w:type="dxa" w:w="2436"/>
            <w:shd w:val="clear" w:color="auto" w:fill="1F4E79"/>
            <w:vAlign w:val="center"/>
          </w:tcPr>
          <w:p>
            <w:pPr>
              <w:jc w:val="center"/>
            </w:pPr>
            <w:r>
              <w:rPr>
                <w:b/>
                <w:color w:val="FFFFFF"/>
                <w:sz w:val="20"/>
              </w:rPr>
              <w:t>Cloud / file transfer</w:t>
            </w:r>
          </w:p>
        </w:tc>
        <w:tc>
          <w:tcPr>
            <w:tcW w:type="dxa" w:w="2436"/>
            <w:shd w:val="clear" w:color="auto" w:fill="1F4E79"/>
            <w:vAlign w:val="center"/>
          </w:tcPr>
          <w:p>
            <w:pPr>
              <w:jc w:val="center"/>
            </w:pPr>
            <w:r>
              <w:rPr>
                <w:b/>
                <w:color w:val="FFFFFF"/>
                <w:sz w:val="20"/>
              </w:rPr>
              <w:t>Téléphone / oral</w:t>
            </w:r>
          </w:p>
        </w:tc>
      </w:tr>
      <w:tr>
        <w:tc>
          <w:tcPr>
            <w:tcW w:type="dxa" w:w="2436"/>
            <w:vAlign w:val="center"/>
          </w:tcPr>
          <w:p>
            <w:r>
              <w:rPr>
                <w:sz w:val="20"/>
              </w:rPr>
              <w:t>Public</w:t>
            </w:r>
          </w:p>
        </w:tc>
        <w:tc>
          <w:tcPr>
            <w:tcW w:type="dxa" w:w="2436"/>
            <w:vAlign w:val="center"/>
          </w:tcPr>
          <w:p>
            <w:r>
              <w:rPr>
                <w:sz w:val="20"/>
              </w:rPr>
              <w:t>Libre</w:t>
            </w:r>
          </w:p>
        </w:tc>
        <w:tc>
          <w:tcPr>
            <w:tcW w:type="dxa" w:w="2436"/>
            <w:vAlign w:val="center"/>
          </w:tcPr>
          <w:p>
            <w:r>
              <w:rPr>
                <w:sz w:val="20"/>
              </w:rPr>
              <w:t>Libre</w:t>
            </w:r>
          </w:p>
        </w:tc>
        <w:tc>
          <w:tcPr>
            <w:tcW w:type="dxa" w:w="2436"/>
            <w:vAlign w:val="center"/>
          </w:tcPr>
          <w:p>
            <w:r>
              <w:rPr>
                <w:sz w:val="20"/>
              </w:rPr>
              <w:t>Libre</w:t>
            </w:r>
          </w:p>
        </w:tc>
      </w:tr>
      <w:tr>
        <w:tc>
          <w:tcPr>
            <w:tcW w:type="dxa" w:w="2436"/>
            <w:vAlign w:val="center"/>
          </w:tcPr>
          <w:p>
            <w:r>
              <w:rPr>
                <w:sz w:val="20"/>
              </w:rPr>
              <w:t>Interne</w:t>
            </w:r>
          </w:p>
        </w:tc>
        <w:tc>
          <w:tcPr>
            <w:tcW w:type="dxa" w:w="2436"/>
            <w:vAlign w:val="center"/>
          </w:tcPr>
          <w:p>
            <w:r>
              <w:rPr>
                <w:sz w:val="20"/>
              </w:rPr>
              <w:t>Email interne autorisé</w:t>
            </w:r>
          </w:p>
        </w:tc>
        <w:tc>
          <w:tcPr>
            <w:tcW w:type="dxa" w:w="2436"/>
            <w:vAlign w:val="center"/>
          </w:tcPr>
          <w:p>
            <w:r>
              <w:rPr>
                <w:sz w:val="20"/>
              </w:rPr>
              <w:t>Plateforme d'entreprise</w:t>
            </w:r>
          </w:p>
        </w:tc>
        <w:tc>
          <w:tcPr>
            <w:tcW w:type="dxa" w:w="2436"/>
            <w:vAlign w:val="center"/>
          </w:tcPr>
          <w:p>
            <w:r>
              <w:rPr>
                <w:sz w:val="20"/>
              </w:rPr>
              <w:t>Sans restriction</w:t>
            </w:r>
          </w:p>
        </w:tc>
      </w:tr>
      <w:tr>
        <w:tc>
          <w:tcPr>
            <w:tcW w:type="dxa" w:w="2436"/>
            <w:vAlign w:val="center"/>
          </w:tcPr>
          <w:p>
            <w:r>
              <w:rPr>
                <w:sz w:val="20"/>
              </w:rPr>
              <w:t>Confidentiel</w:t>
            </w:r>
          </w:p>
        </w:tc>
        <w:tc>
          <w:tcPr>
            <w:tcW w:type="dxa" w:w="2436"/>
            <w:vAlign w:val="center"/>
          </w:tcPr>
          <w:p>
            <w:r>
              <w:rPr>
                <w:sz w:val="20"/>
              </w:rPr>
              <w:t>Email chiffré (S/MIME ou OME)</w:t>
            </w:r>
          </w:p>
        </w:tc>
        <w:tc>
          <w:tcPr>
            <w:tcW w:type="dxa" w:w="2436"/>
            <w:vAlign w:val="center"/>
          </w:tcPr>
          <w:p>
            <w:r>
              <w:rPr>
                <w:sz w:val="20"/>
              </w:rPr>
              <w:t>Lien sécurisé à expiration</w:t>
            </w:r>
          </w:p>
        </w:tc>
        <w:tc>
          <w:tcPr>
            <w:tcW w:type="dxa" w:w="2436"/>
            <w:vAlign w:val="center"/>
          </w:tcPr>
          <w:p>
            <w:r>
              <w:rPr>
                <w:sz w:val="20"/>
              </w:rPr>
              <w:t>En cercle restreint, hors public</w:t>
            </w:r>
          </w:p>
        </w:tc>
      </w:tr>
      <w:tr>
        <w:tc>
          <w:tcPr>
            <w:tcW w:type="dxa" w:w="2436"/>
            <w:vAlign w:val="center"/>
          </w:tcPr>
          <w:p>
            <w:r>
              <w:rPr>
                <w:sz w:val="20"/>
              </w:rPr>
              <w:t>Restreint</w:t>
            </w:r>
          </w:p>
        </w:tc>
        <w:tc>
          <w:tcPr>
            <w:tcW w:type="dxa" w:w="2436"/>
            <w:vAlign w:val="center"/>
          </w:tcPr>
          <w:p>
            <w:r>
              <w:rPr>
                <w:sz w:val="20"/>
              </w:rPr>
              <w:t>Email chiffré E2EE + accusé</w:t>
            </w:r>
          </w:p>
        </w:tc>
        <w:tc>
          <w:tcPr>
            <w:tcW w:type="dxa" w:w="2436"/>
            <w:vAlign w:val="center"/>
          </w:tcPr>
          <w:p>
            <w:r>
              <w:rPr>
                <w:sz w:val="20"/>
              </w:rPr>
              <w:t>Plateforme dédiée + filigrane</w:t>
            </w:r>
          </w:p>
        </w:tc>
        <w:tc>
          <w:tcPr>
            <w:tcW w:type="dxa" w:w="2436"/>
            <w:vAlign w:val="center"/>
          </w:tcPr>
          <w:p>
            <w:r>
              <w:rPr>
                <w:sz w:val="20"/>
              </w:rPr>
              <w:t>Salle insonorisée, identification préalable</w:t>
            </w:r>
          </w:p>
        </w:tc>
      </w:tr>
    </w:tbl>
    <w:p>
      <w:pPr>
        <w:spacing w:before="360" w:after="160"/>
        <w:pBdr>
          <w:bottom w:val="single" w:sz="8" w:space="1" w:color="1F4E79"/>
        </w:pBdr>
      </w:pPr>
      <w:r>
        <w:rPr>
          <w:b/>
          <w:color w:val="0B2545"/>
          <w:sz w:val="36"/>
        </w:rPr>
        <w:t>7. Règles de destruction</w:t>
      </w:r>
    </w:p>
    <w:p>
      <w:pPr>
        <w:pStyle w:val="ListBullet"/>
        <w:spacing w:after="40"/>
      </w:pPr>
      <w:r>
        <w:t>Public : recyclage standard.</w:t>
      </w:r>
    </w:p>
    <w:p>
      <w:pPr>
        <w:pStyle w:val="ListBullet"/>
        <w:spacing w:after="40"/>
      </w:pPr>
      <w:r>
        <w:t>Interne : broyage papier niveau P-3 (NF EN 15713) / suppression sécurisée numérique.</w:t>
      </w:r>
    </w:p>
    <w:p>
      <w:pPr>
        <w:pStyle w:val="ListBullet"/>
        <w:spacing w:after="40"/>
      </w:pPr>
      <w:r>
        <w:t>Confidentiel : broyage P-5 / effacement cryptographique avec attestation.</w:t>
      </w:r>
    </w:p>
    <w:p>
      <w:pPr>
        <w:pStyle w:val="ListBullet"/>
        <w:spacing w:after="40"/>
      </w:pPr>
      <w:r>
        <w:t>Restreint : broyage P-7 ou destruction certifiée par un prestataire agréé / destruction physique des supports (perceuse, démagnétisation, broyage SSD).</w:t>
      </w:r>
    </w:p>
    <w:p>
      <w:pPr>
        <w:spacing w:before="360" w:after="160"/>
        <w:pBdr>
          <w:bottom w:val="single" w:sz="8" w:space="1" w:color="1F4E79"/>
        </w:pBdr>
      </w:pPr>
      <w:r>
        <w:rPr>
          <w:b/>
          <w:color w:val="0B2545"/>
          <w:sz w:val="36"/>
        </w:rPr>
        <w:t>8. Cas particuliers</w:t>
      </w:r>
    </w:p>
    <w:p>
      <w:pPr>
        <w:spacing w:before="240" w:after="80"/>
      </w:pPr>
      <w:r>
        <w:rPr>
          <w:b/>
          <w:color w:val="1F4E79"/>
          <w:sz w:val="26"/>
        </w:rPr>
        <w:t>8.1 Données à caractère personnel (RGPD)</w:t>
      </w:r>
    </w:p>
    <w:p>
      <w:pPr>
        <w:spacing w:line="312" w:lineRule="auto"/>
        <w:jc w:val="both"/>
      </w:pPr>
      <w:r>
        <w:t>Les données à caractère personnel sont classifiées au minimum « Confidentiel ». Les données sensibles au sens de l'art. 9 RGPD (santé, opinion politique, religion, orientation sexuelle, données biométriques) sont classifiées « Restreint ».</w:t>
      </w:r>
    </w:p>
    <w:p>
      <w:pPr>
        <w:spacing w:before="240" w:after="80"/>
      </w:pPr>
      <w:r>
        <w:rPr>
          <w:b/>
          <w:color w:val="1F4E79"/>
          <w:sz w:val="26"/>
        </w:rPr>
        <w:t>8.2 Informations sous obligation contractuelle</w:t>
      </w:r>
    </w:p>
    <w:p>
      <w:pPr>
        <w:spacing w:line="312" w:lineRule="auto"/>
        <w:jc w:val="both"/>
      </w:pPr>
      <w:r>
        <w:t>Les informations couvertes par un accord de confidentialité (NDA) sont classifiées au minimum au niveau prévu par le contrat, et a minima « Confidentiel ».</w:t>
      </w:r>
    </w:p>
    <w:p>
      <w:pPr>
        <w:spacing w:before="240" w:after="80"/>
      </w:pPr>
      <w:r>
        <w:rPr>
          <w:b/>
          <w:color w:val="1F4E79"/>
          <w:sz w:val="26"/>
        </w:rPr>
        <w:t>8.3 Déclassification</w:t>
      </w:r>
    </w:p>
    <w:p>
      <w:pPr>
        <w:spacing w:line="312" w:lineRule="auto"/>
        <w:jc w:val="both"/>
      </w:pPr>
      <w:r>
        <w:t>Une information peut être déclassée par décision du propriétaire, lorsque le contexte le permet (publication, fin d'embargo, expiration de la sensibilité). La déclassification doit être tracée dans le registre de classification.</w:t>
      </w:r>
    </w:p>
    <w:p>
      <w:pPr>
        <w:spacing w:before="360" w:after="160"/>
        <w:pBdr>
          <w:bottom w:val="single" w:sz="8" w:space="1" w:color="1F4E79"/>
        </w:pBdr>
      </w:pPr>
      <w:r>
        <w:rPr>
          <w:b/>
          <w:color w:val="0B2545"/>
          <w:sz w:val="36"/>
        </w:rPr>
        <w:t>9. Sanctions et exceptions</w:t>
      </w:r>
    </w:p>
    <w:p>
      <w:pPr>
        <w:spacing w:line="312" w:lineRule="auto"/>
        <w:jc w:val="both"/>
      </w:pPr>
      <w:r>
        <w:t>Toute violation de la présente politique expose son auteur aux sanctions disciplinaires prévues au règlement intérieur, ainsi qu'aux sanctions civiles et pénales applicables (Code pénal art. 226-13, atteinte au secret professionnel). Toute exception à la politique doit être formalisée, justifiée par écrit, validée par le RSSI et limitée dans le temps (12 mois maximum, renouvelable).</w:t>
      </w:r>
    </w:p>
    <w:sectPr w:rsidR="00FC693F" w:rsidRPr="0006063C" w:rsidSect="00034616">
      <w:headerReference w:type="default" r:id="rId9"/>
      <w:footerReference w:type="default" r:id="rId10"/>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3213"/>
      <w:gridCol w:w="3213"/>
      <w:gridCol w:w="3213"/>
    </w:tblGrid>
    <w:tr>
      <w:tc>
        <w:tcPr>
          <w:tcW w:type="dxa" w:w="3213"/>
        </w:tcPr>
        <w:p>
          <w:r>
            <w:rPr>
              <w:color w:val="595959"/>
              <w:sz w:val="16"/>
            </w:rPr>
            <w:t>© Ayinedjimi Consultants — ayinedjimi-consultants.fr</w:t>
          </w:r>
        </w:p>
      </w:tc>
      <w:tc>
        <w:tcPr>
          <w:tcW w:type="dxa" w:w="3213"/>
        </w:tcPr>
        <w:p>
          <w:pPr>
            <w:jc w:val="center"/>
          </w:pPr>
          <w:r>
            <w:rPr>
              <w:color w:val="595959"/>
              <w:sz w:val="16"/>
            </w:rPr>
            <w:t>Document confidentiel — Usage interne</w:t>
          </w:r>
        </w:p>
      </w:tc>
      <w:tc>
        <w:tcPr>
          <w:tcW w:type="dxa" w:w="3213"/>
        </w:tcPr>
        <w:p>
          <w:pPr>
            <w:jc w:val="right"/>
          </w:pPr>
          <w:r>
            <w:rPr>
              <w:color w:val="595959"/>
              <w:sz w:val="16"/>
            </w:rPr>
            <w:t xml:space="preserve">Page </w:t>
            <w:fldSimple w:instr="PAGE \* MERGEFORMAT">
              <w:r>
                <w:t>1</w:t>
              </w:r>
            </w:fldSimple>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autofit"/>
      <w:tblLook w:firstColumn="1" w:firstRow="1" w:lastColumn="0" w:lastRow="0" w:noHBand="0" w:noVBand="1" w:val="04A0"/>
    </w:tblPr>
    <w:tblGrid>
      <w:gridCol w:w="4819"/>
      <w:gridCol w:w="4819"/>
    </w:tblGrid>
    <w:tr>
      <w:tc>
        <w:tcPr>
          <w:tcW w:type="dxa" w:w="4819"/>
        </w:tcPr>
        <w:p>
          <w:pPr>
            <w:jc w:val="left"/>
          </w:pPr>
          <w:r>
            <w:rPr>
              <w:color w:val="595959"/>
              <w:sz w:val="18"/>
            </w:rPr>
            <w:t>ayinedjimi-consultants.fr</w:t>
          </w:r>
        </w:p>
      </w:tc>
      <w:tc>
        <w:tcPr>
          <w:tcW w:type="dxa" w:w="4819"/>
        </w:tcPr>
        <w:p>
          <w:pPr>
            <w:jc w:val="right"/>
          </w:pPr>
          <w:r>
            <w:rPr>
              <w:color w:val="595959"/>
              <w:sz w:val="18"/>
            </w:rPr>
            <w:t>ISO/IEC 27001:2022 — Template Gratuit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