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Politique anti-malware et EDR</w:t>
      </w:r>
    </w:p>
    <w:p>
      <w:pPr>
        <w:jc w:val="center"/>
      </w:pPr>
      <w:r>
        <w:rPr>
          <w:i/>
          <w:color w:val="555555"/>
          <w:sz w:val="26"/>
        </w:rPr>
        <w:t>Protection contre les codes malveillants — Contrôle A.8.7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POL-SMSI-MAL-001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périmètre</w:t>
      </w:r>
    </w:p>
    <w:p>
      <w:pPr>
        <w:ind w:left="0"/>
      </w:pPr>
      <w:r>
        <w:rPr>
          <w:b/>
          <w:color w:val="1F3A5F"/>
          <w:sz w:val="22"/>
        </w:rPr>
        <w:t>2  Références</w:t>
      </w:r>
    </w:p>
    <w:p>
      <w:pPr>
        <w:ind w:left="0"/>
      </w:pPr>
      <w:r>
        <w:rPr>
          <w:b/>
          <w:color w:val="1F3A5F"/>
          <w:sz w:val="22"/>
        </w:rPr>
        <w:t>3  Architecture de protection en profondeur</w:t>
      </w:r>
    </w:p>
    <w:p>
      <w:pPr>
        <w:ind w:left="283"/>
      </w:pPr>
      <w:r>
        <w:rPr>
          <w:sz w:val="22"/>
        </w:rPr>
        <w:t>3.1  Couches de défense</w:t>
      </w:r>
    </w:p>
    <w:p>
      <w:pPr>
        <w:ind w:left="283"/>
      </w:pPr>
      <w:r>
        <w:rPr>
          <w:sz w:val="22"/>
        </w:rPr>
        <w:t>3.2  Solutions EDR / XDR</w:t>
      </w:r>
    </w:p>
    <w:p>
      <w:pPr>
        <w:ind w:left="0"/>
      </w:pPr>
      <w:r>
        <w:rPr>
          <w:b/>
          <w:color w:val="1F3A5F"/>
          <w:sz w:val="22"/>
        </w:rPr>
        <w:t>4  Signatures, heuristique et comportemental</w:t>
      </w:r>
    </w:p>
    <w:p>
      <w:pPr>
        <w:ind w:left="0"/>
      </w:pPr>
      <w:r>
        <w:rPr>
          <w:b/>
          <w:color w:val="1F3A5F"/>
          <w:sz w:val="22"/>
        </w:rPr>
        <w:t>5  Contrôle d'exécution applicative</w:t>
      </w:r>
    </w:p>
    <w:p>
      <w:pPr>
        <w:ind w:left="283"/>
      </w:pPr>
      <w:r>
        <w:rPr>
          <w:sz w:val="22"/>
        </w:rPr>
        <w:t>5.1  AppLocker et WDAC</w:t>
      </w:r>
    </w:p>
    <w:p>
      <w:pPr>
        <w:ind w:left="283"/>
      </w:pPr>
      <w:r>
        <w:rPr>
          <w:sz w:val="22"/>
        </w:rPr>
        <w:t>5.2  Gestion des exceptions</w:t>
      </w:r>
    </w:p>
    <w:p>
      <w:pPr>
        <w:ind w:left="0"/>
      </w:pPr>
      <w:r>
        <w:rPr>
          <w:b/>
          <w:color w:val="1F3A5F"/>
          <w:sz w:val="22"/>
        </w:rPr>
        <w:t>6  Workflow d'alerte et de remédiation</w:t>
      </w:r>
    </w:p>
    <w:p>
      <w:pPr>
        <w:ind w:left="283"/>
      </w:pPr>
      <w:r>
        <w:rPr>
          <w:sz w:val="22"/>
        </w:rPr>
        <w:t>6.1  Triage SOC niveau 1</w:t>
      </w:r>
    </w:p>
    <w:p>
      <w:pPr>
        <w:ind w:left="283"/>
      </w:pPr>
      <w:r>
        <w:rPr>
          <w:sz w:val="22"/>
        </w:rPr>
        <w:t>6.2  Investigation SOC niveau 2</w:t>
      </w:r>
    </w:p>
    <w:p>
      <w:pPr>
        <w:ind w:left="283"/>
      </w:pPr>
      <w:r>
        <w:rPr>
          <w:sz w:val="22"/>
        </w:rPr>
        <w:t>6.3  Containment et éradication</w:t>
      </w:r>
    </w:p>
    <w:p>
      <w:pPr>
        <w:ind w:left="0"/>
      </w:pPr>
      <w:r>
        <w:rPr>
          <w:b/>
          <w:color w:val="1F3A5F"/>
          <w:sz w:val="22"/>
        </w:rPr>
        <w:t>7  Postes utilisateurs et terminaux mobiles</w:t>
      </w:r>
    </w:p>
    <w:p>
      <w:pPr>
        <w:ind w:left="0"/>
      </w:pPr>
      <w:r>
        <w:rPr>
          <w:b/>
          <w:color w:val="1F3A5F"/>
          <w:sz w:val="22"/>
        </w:rPr>
        <w:t>8  Serveurs et workloads cloud</w:t>
      </w:r>
    </w:p>
    <w:p>
      <w:pPr>
        <w:ind w:left="0"/>
      </w:pPr>
      <w:r>
        <w:rPr>
          <w:b/>
          <w:color w:val="1F3A5F"/>
          <w:sz w:val="22"/>
        </w:rPr>
        <w:t>9  Indicateurs et reporting</w:t>
      </w:r>
    </w:p>
    <w:p>
      <w:pPr>
        <w:ind w:left="0"/>
      </w:pPr>
      <w:r>
        <w:rPr>
          <w:b/>
          <w:color w:val="1F3A5F"/>
          <w:sz w:val="22"/>
        </w:rPr>
        <w:t>10  Revue et amélioration</w:t>
      </w:r>
    </w:p>
    <w:p>
      <w:pPr>
        <w:ind w:left="0"/>
      </w:pPr>
      <w:r>
        <w:rPr>
          <w:b/>
          <w:color w:val="1F3A5F"/>
          <w:sz w:val="22"/>
        </w:rPr>
        <w:t>11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périmètre</w:t>
      </w:r>
    </w:p>
    <w:p>
      <w:pPr>
        <w:jc w:val="both"/>
      </w:pPr>
      <w:r>
        <w:rPr>
          <w:b w:val="0"/>
          <w:i w:val="0"/>
          <w:sz w:val="22"/>
        </w:rPr>
        <w:t>La présente politique définit les exigences de l'organisme en matière de protection contre les codes malveillants (malware, ransomware, RAT, spyware, cryptojacker, infostealer…), conformément au contrôle A.8.7 de la norme ISO/IEC 27001:2022. Elle s'applique à l'ensemble des postes utilisateurs, serveurs, machines virtuelles, conteneurs, terminaux mobiles, BYOD et environnements cloud du périmètre.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Références</w:t>
      </w:r>
    </w:p>
    <w:p>
      <w:pPr>
        <w:pStyle w:val="ListBullet"/>
        <w:ind w:left="283"/>
      </w:pPr>
      <w:r/>
      <w:r>
        <w:rPr>
          <w:sz w:val="22"/>
        </w:rPr>
        <w:t>ISO/IEC 27001:2022 Annexe A.8.7 — Protection contre les programmes malveillants</w:t>
      </w:r>
    </w:p>
    <w:p>
      <w:pPr>
        <w:pStyle w:val="ListBullet"/>
        <w:ind w:left="283"/>
      </w:pPr>
      <w:r/>
      <w:r>
        <w:rPr>
          <w:sz w:val="22"/>
        </w:rPr>
        <w:t>ISO/IEC 27002:2022 — Mesure 8.7 / lignes directrices</w:t>
      </w:r>
    </w:p>
    <w:p>
      <w:pPr>
        <w:pStyle w:val="ListBullet"/>
        <w:ind w:left="283"/>
      </w:pPr>
      <w:r/>
      <w:r>
        <w:rPr>
          <w:sz w:val="22"/>
        </w:rPr>
        <w:t>Guide ANSSI — Hygiène informatique 2017 (mesures M9 et M40)</w:t>
      </w:r>
    </w:p>
    <w:p>
      <w:pPr>
        <w:pStyle w:val="ListBullet"/>
        <w:ind w:left="283"/>
      </w:pPr>
      <w:r/>
      <w:r>
        <w:rPr>
          <w:sz w:val="22"/>
        </w:rPr>
        <w:t>MITRE ATT&amp;CK Framework — TTP de référence</w:t>
      </w:r>
    </w:p>
    <w:p>
      <w:pPr>
        <w:pStyle w:val="ListBullet"/>
        <w:ind w:left="283"/>
      </w:pPr>
      <w:r/>
      <w:r>
        <w:rPr>
          <w:sz w:val="22"/>
        </w:rPr>
        <w:t>Politique de sécurité des postes de travail (réf. POL-SMSI-PDT-001)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Architecture de protection en profondeur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3.1  Couches de défense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Couche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Mesure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Solution type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Périmètre mail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Anti-spam, anti-phishing, sandbox, DKIM/SPF/DMARC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Proofpoint, Vade, M365 Defender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Périmètre web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Proxy filtrant + SSL inspection + isolation navigateur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Zscaler, Netskope, Menlo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Périmètre réseau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NGFW + IPS + sandbox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Palo Alto, Fortinet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Endpoint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EDR/XDR + anti-malware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Microsoft Defender for Endpoint, CrowdStrike, SentinelOne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Workload cloud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CWPP / CNAPP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Prisma Cloud, Wiz, Defender for Cloud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Applications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WAF + RASP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Cloudflare, Imperva, Contrast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Mail boxes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Anti-malware post-livraison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M365 Defender Safe Attachments/Links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3.2  Solutions EDR / XDR</w:t>
      </w:r>
    </w:p>
    <w:p>
      <w:pPr>
        <w:pStyle w:val="ListBullet"/>
        <w:ind w:left="283"/>
      </w:pPr>
      <w:r/>
      <w:r>
        <w:rPr>
          <w:sz w:val="22"/>
        </w:rPr>
        <w:t>EDR de référence : [Microsoft Defender for Endpoint / CrowdStrike Falcon / SentinelOne]</w:t>
      </w:r>
    </w:p>
    <w:p>
      <w:pPr>
        <w:pStyle w:val="ListBullet"/>
        <w:ind w:left="283"/>
      </w:pPr>
      <w:r/>
      <w:r>
        <w:rPr>
          <w:sz w:val="22"/>
        </w:rPr>
        <w:t>Couverture obligatoire : 100% des postes Windows / macOS / Linux du périmètre</w:t>
      </w:r>
    </w:p>
    <w:p>
      <w:pPr>
        <w:pStyle w:val="ListBullet"/>
        <w:ind w:left="283"/>
      </w:pPr>
      <w:r/>
      <w:r>
        <w:rPr>
          <w:sz w:val="22"/>
        </w:rPr>
        <w:t>Mode opératoire : prévention active + détection comportementale + télémétrie SIEM</w:t>
      </w:r>
    </w:p>
    <w:p>
      <w:pPr>
        <w:pStyle w:val="ListBullet"/>
        <w:ind w:left="283"/>
      </w:pPr>
      <w:r/>
      <w:r>
        <w:rPr>
          <w:sz w:val="22"/>
        </w:rPr>
        <w:t>Mises à jour : automatiques en continu, fenêtre de patch ≤ 24h</w:t>
      </w:r>
    </w:p>
    <w:p>
      <w:pPr>
        <w:pStyle w:val="ListBullet"/>
        <w:ind w:left="283"/>
      </w:pPr>
      <w:r/>
      <w:r>
        <w:rPr>
          <w:sz w:val="22"/>
        </w:rPr>
        <w:t>Console centralisée : opérée par le SOC, MFA obligatoire, RBAC strict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Signatures, heuristique et comportemental</w:t>
      </w:r>
    </w:p>
    <w:p>
      <w:pPr>
        <w:jc w:val="both"/>
      </w:pPr>
      <w:r>
        <w:rPr>
          <w:b w:val="0"/>
          <w:i w:val="0"/>
          <w:sz w:val="22"/>
        </w:rPr>
        <w:t>La protection repose sur trois mécanismes complémentaires, tous activés en mode bloquant :</w:t>
      </w:r>
    </w:p>
    <w:p>
      <w:pPr>
        <w:pStyle w:val="ListBullet"/>
        <w:ind w:left="283"/>
      </w:pPr>
      <w:r/>
      <w:r>
        <w:rPr>
          <w:sz w:val="22"/>
        </w:rPr>
        <w:t>Signatures — base de signatures mise à jour en quasi-temps réel (cloud lookup)</w:t>
      </w:r>
    </w:p>
    <w:p>
      <w:pPr>
        <w:pStyle w:val="ListBullet"/>
        <w:ind w:left="283"/>
      </w:pPr>
      <w:r/>
      <w:r>
        <w:rPr>
          <w:sz w:val="22"/>
        </w:rPr>
        <w:t>Heuristique / Machine Learning — détection de variants inconnus</w:t>
      </w:r>
    </w:p>
    <w:p>
      <w:pPr>
        <w:pStyle w:val="ListBullet"/>
        <w:ind w:left="283"/>
      </w:pPr>
      <w:r/>
      <w:r>
        <w:rPr>
          <w:sz w:val="22"/>
        </w:rPr>
        <w:t>Comportemental — détection d'actions suspectes (création RegRun, injection process, encryption massive…)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4F1EA" w:val="clear"/>
            <w:tcBorders>
              <w:top w:val="single" w:sz="6" w:color="C9A961"/>
              <w:left w:val="single" w:sz="6" w:color="C9A961"/>
              <w:bottom w:val="single" w:sz="6" w:color="C9A961"/>
              <w:right w:val="single" w:sz="6" w:color="C9A961"/>
            </w:tcBorders>
          </w:tcPr>
          <w:p>
            <w:r/>
            <w:r>
              <w:rPr>
                <w:b/>
                <w:color w:val="C9A961"/>
                <w:sz w:val="20"/>
              </w:rPr>
              <w:t xml:space="preserve">Cartographie ATT&amp;CK — </w:t>
            </w:r>
            <w:r>
              <w:rPr>
                <w:i/>
                <w:color w:val="222222"/>
                <w:sz w:val="20"/>
              </w:rPr>
              <w:t>Les use cases EDR sont cartographiés sur MITRE ATT&amp;CK. La couverture minimale exigée porte sur les tactiques Initial Access, Execution, Persistence, Privilege Escalation, Defense Evasion, Credential Access, Lateral Movement, Collection, Exfiltration et Impact.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Contrôle d'exécution applicative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5.1  AppLocker et WDAC</w:t>
      </w:r>
    </w:p>
    <w:p>
      <w:pPr>
        <w:pStyle w:val="ListBullet"/>
        <w:ind w:left="283"/>
      </w:pPr>
      <w:r/>
      <w:r>
        <w:rPr>
          <w:sz w:val="22"/>
        </w:rPr>
        <w:t>Postes utilisateurs Windows : AppLocker en mode bloquant + Windows Defender Application Control (WDAC)</w:t>
      </w:r>
    </w:p>
    <w:p>
      <w:pPr>
        <w:pStyle w:val="ListBullet"/>
        <w:ind w:left="283"/>
      </w:pPr>
      <w:r/>
      <w:r>
        <w:rPr>
          <w:sz w:val="22"/>
        </w:rPr>
        <w:t>Mode allowlisting strict pour répertoires utilisateur (%APPDATA%, %TEMP%, %USERPROFILE%)</w:t>
      </w:r>
    </w:p>
    <w:p>
      <w:pPr>
        <w:pStyle w:val="ListBullet"/>
        <w:ind w:left="283"/>
      </w:pPr>
      <w:r/>
      <w:r>
        <w:rPr>
          <w:sz w:val="22"/>
        </w:rPr>
        <w:t>Postes admin / serveurs : WDAC strict + Constrained Language Mode PowerShell</w:t>
      </w:r>
    </w:p>
    <w:p>
      <w:pPr>
        <w:pStyle w:val="ListBullet"/>
        <w:ind w:left="283"/>
      </w:pPr>
      <w:r/>
      <w:r>
        <w:rPr>
          <w:sz w:val="22"/>
        </w:rPr>
        <w:t>Linux : SELinux ou AppArmor en mode enforcing ; auditd activé</w:t>
      </w:r>
    </w:p>
    <w:p>
      <w:pPr>
        <w:pStyle w:val="ListBullet"/>
        <w:ind w:left="283"/>
      </w:pPr>
      <w:r/>
      <w:r>
        <w:rPr>
          <w:sz w:val="22"/>
        </w:rPr>
        <w:t>macOS : Gatekeeper + System Integrity Protection (SIP) + signature obligatoire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5.2  Gestion des exceptions</w:t>
      </w:r>
    </w:p>
    <w:p>
      <w:pPr>
        <w:pStyle w:val="ListBullet"/>
        <w:ind w:left="283"/>
      </w:pPr>
      <w:r/>
      <w:r>
        <w:rPr>
          <w:sz w:val="22"/>
        </w:rPr>
        <w:t>Toute exception est demandée via formulaire RSSI motivé (cas d'usage, durée, périmètre)</w:t>
      </w:r>
    </w:p>
    <w:p>
      <w:pPr>
        <w:pStyle w:val="ListBullet"/>
        <w:ind w:left="283"/>
      </w:pPr>
      <w:r/>
      <w:r>
        <w:rPr>
          <w:sz w:val="22"/>
        </w:rPr>
        <w:t>Validation RSSI obligatoire ; exception limitée dans le temps (max 90 jours)</w:t>
      </w:r>
    </w:p>
    <w:p>
      <w:pPr>
        <w:pStyle w:val="ListBullet"/>
        <w:ind w:left="283"/>
      </w:pPr>
      <w:r/>
      <w:r>
        <w:rPr>
          <w:sz w:val="22"/>
        </w:rPr>
        <w:t>Exceptions consignées dans le registre des dérogations (réf. REG-SMSI-DER-001)</w:t>
      </w:r>
    </w:p>
    <w:p>
      <w:pPr>
        <w:pStyle w:val="ListBullet"/>
        <w:ind w:left="283"/>
      </w:pPr>
      <w:r/>
      <w:r>
        <w:rPr>
          <w:sz w:val="22"/>
        </w:rPr>
        <w:t>Revue trimestrielle des exceptions en Comité Sécurité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Workflow d'alerte et de remédiation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6.1  Triage SOC niveau 1</w:t>
      </w:r>
    </w:p>
    <w:p>
      <w:pPr>
        <w:pStyle w:val="ListNumber"/>
      </w:pPr>
      <w:r>
        <w:rPr>
          <w:sz w:val="22"/>
        </w:rPr>
        <w:t>Détection EDR → alerte SIEM (Splunk/Sentinel/QRadar)</w:t>
      </w:r>
    </w:p>
    <w:p>
      <w:pPr>
        <w:pStyle w:val="ListNumber"/>
      </w:pPr>
      <w:r>
        <w:rPr>
          <w:sz w:val="22"/>
        </w:rPr>
        <w:t>Enrichissement automatique (asset, user, threat intel)</w:t>
      </w:r>
    </w:p>
    <w:p>
      <w:pPr>
        <w:pStyle w:val="ListNumber"/>
      </w:pPr>
      <w:r>
        <w:rPr>
          <w:sz w:val="22"/>
        </w:rPr>
        <w:t>Application des règles SOAR : faux positifs connus fermés automatiquement</w:t>
      </w:r>
    </w:p>
    <w:p>
      <w:pPr>
        <w:pStyle w:val="ListNumber"/>
      </w:pPr>
      <w:r>
        <w:rPr>
          <w:sz w:val="22"/>
        </w:rPr>
        <w:t>Si alerte critique : ouverture ticket P1 + page astreinte SOC ≤ 15 min</w:t>
      </w:r>
    </w:p>
    <w:p>
      <w:pPr>
        <w:pStyle w:val="ListNumber"/>
      </w:pPr>
      <w:r>
        <w:rPr>
          <w:sz w:val="22"/>
        </w:rPr>
        <w:t>Si alerte high/medium : ouverture ticket P2/P3 selon priorisation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6.2  Investigation SOC niveau 2</w:t>
      </w:r>
    </w:p>
    <w:p>
      <w:pPr>
        <w:pStyle w:val="ListBullet"/>
        <w:ind w:left="283"/>
      </w:pPr>
      <w:r/>
      <w:r>
        <w:rPr>
          <w:sz w:val="22"/>
        </w:rPr>
        <w:t>Récupération télémétrie EDR (process tree, network, DNS, registry)</w:t>
      </w:r>
    </w:p>
    <w:p>
      <w:pPr>
        <w:pStyle w:val="ListBullet"/>
        <w:ind w:left="283"/>
      </w:pPr>
      <w:r/>
      <w:r>
        <w:rPr>
          <w:sz w:val="22"/>
        </w:rPr>
        <w:t>Corrélation avec autres événements (autres endpoints, identités, mails)</w:t>
      </w:r>
    </w:p>
    <w:p>
      <w:pPr>
        <w:pStyle w:val="ListBullet"/>
        <w:ind w:left="283"/>
      </w:pPr>
      <w:r/>
      <w:r>
        <w:rPr>
          <w:sz w:val="22"/>
        </w:rPr>
        <w:t>Recherche IoC dans threat intel (CTI, VirusTotal, AlienVault OTX)</w:t>
      </w:r>
    </w:p>
    <w:p>
      <w:pPr>
        <w:pStyle w:val="ListBullet"/>
        <w:ind w:left="283"/>
      </w:pPr>
      <w:r/>
      <w:r>
        <w:rPr>
          <w:sz w:val="22"/>
        </w:rPr>
        <w:t>Cartographie ATT&amp;CK et qualification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6.3  Containment et éradication</w:t>
      </w:r>
    </w:p>
    <w:p>
      <w:pPr>
        <w:pStyle w:val="ListBullet"/>
        <w:ind w:left="283"/>
      </w:pPr>
      <w:r/>
      <w:r>
        <w:rPr>
          <w:sz w:val="22"/>
        </w:rPr>
        <w:t>Isolation EDR du poste compromis (network containment)</w:t>
      </w:r>
    </w:p>
    <w:p>
      <w:pPr>
        <w:pStyle w:val="ListBullet"/>
        <w:ind w:left="283"/>
      </w:pPr>
      <w:r/>
      <w:r>
        <w:rPr>
          <w:sz w:val="22"/>
        </w:rPr>
        <w:t>Réinitialisation des credentials concernés (admin reset, kerberos tickets)</w:t>
      </w:r>
    </w:p>
    <w:p>
      <w:pPr>
        <w:pStyle w:val="ListBullet"/>
        <w:ind w:left="283"/>
      </w:pPr>
      <w:r/>
      <w:r>
        <w:rPr>
          <w:sz w:val="22"/>
        </w:rPr>
        <w:t>Reformatage et restauration depuis image de référence (pas de nettoyage manuel)</w:t>
      </w:r>
    </w:p>
    <w:p>
      <w:pPr>
        <w:pStyle w:val="ListBullet"/>
        <w:ind w:left="283"/>
      </w:pPr>
      <w:r/>
      <w:r>
        <w:rPr>
          <w:sz w:val="22"/>
        </w:rPr>
        <w:t>Bloquage IoC dans périmètre (firewall, proxy, mail gateway)</w:t>
      </w:r>
    </w:p>
    <w:p>
      <w:pPr>
        <w:pStyle w:val="ListBullet"/>
        <w:ind w:left="283"/>
      </w:pPr>
      <w:r/>
      <w:r>
        <w:rPr>
          <w:sz w:val="22"/>
        </w:rPr>
        <w:t>Hunt complémentaire sur le périmètre pour détecter latéralisation</w:t>
      </w:r>
    </w:p>
    <w:p>
      <w:pPr>
        <w:pStyle w:val="ListBullet"/>
        <w:ind w:left="283"/>
      </w:pPr>
      <w:r/>
      <w:r>
        <w:rPr>
          <w:sz w:val="22"/>
        </w:rPr>
        <w:t>Notification incident selon procédure (PROC-INC-01)</w:t>
      </w:r>
    </w:p>
    <w:p>
      <w:pPr>
        <w:pStyle w:val="ListBullet"/>
        <w:ind w:left="283"/>
      </w:pPr>
      <w:r/>
      <w:r>
        <w:rPr>
          <w:sz w:val="22"/>
        </w:rPr>
        <w:t>Si DCP impactées : DPO → notification CNIL ≤ 72h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Postes utilisateurs et terminaux mobiles</w:t>
      </w:r>
    </w:p>
    <w:p>
      <w:pPr>
        <w:pStyle w:val="ListBullet"/>
        <w:ind w:left="283"/>
      </w:pPr>
      <w:r/>
      <w:r>
        <w:rPr>
          <w:sz w:val="22"/>
        </w:rPr>
        <w:t>EDR obligatoire activé en mode bloquant sur 100% des postes</w:t>
      </w:r>
    </w:p>
    <w:p>
      <w:pPr>
        <w:pStyle w:val="ListBullet"/>
        <w:ind w:left="283"/>
      </w:pPr>
      <w:r/>
      <w:r>
        <w:rPr>
          <w:sz w:val="22"/>
        </w:rPr>
        <w:t>Mises à jour OS et applications appliquées sous 30 j (7 j pour critiques)</w:t>
      </w:r>
    </w:p>
    <w:p>
      <w:pPr>
        <w:pStyle w:val="ListBullet"/>
        <w:ind w:left="283"/>
      </w:pPr>
      <w:r/>
      <w:r>
        <w:rPr>
          <w:sz w:val="22"/>
        </w:rPr>
        <w:t>BYOD : MDM (Intune/Workspace ONE) + conteneurisation des données pro</w:t>
      </w:r>
    </w:p>
    <w:p>
      <w:pPr>
        <w:pStyle w:val="ListBullet"/>
        <w:ind w:left="283"/>
      </w:pPr>
      <w:r/>
      <w:r>
        <w:rPr>
          <w:sz w:val="22"/>
        </w:rPr>
        <w:t>Smartphone pro : MDM + remote wipe + chiffrement intégral</w:t>
      </w:r>
    </w:p>
    <w:p>
      <w:pPr>
        <w:pStyle w:val="ListBullet"/>
        <w:ind w:left="283"/>
      </w:pPr>
      <w:r/>
      <w:r>
        <w:rPr>
          <w:sz w:val="22"/>
        </w:rPr>
        <w:t>Pas d'élévation locale persistante (admin temporaire JIT uniquement)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Serveurs et workloads cloud</w:t>
      </w:r>
    </w:p>
    <w:p>
      <w:pPr>
        <w:pStyle w:val="ListBullet"/>
        <w:ind w:left="283"/>
      </w:pPr>
      <w:r/>
      <w:r>
        <w:rPr>
          <w:sz w:val="22"/>
        </w:rPr>
        <w:t>EDR serveur ou CWPP cloud-natif sur 100% des workloads</w:t>
      </w:r>
    </w:p>
    <w:p>
      <w:pPr>
        <w:pStyle w:val="ListBullet"/>
        <w:ind w:left="283"/>
      </w:pPr>
      <w:r/>
      <w:r>
        <w:rPr>
          <w:sz w:val="22"/>
        </w:rPr>
        <w:t>Conteneurs : scan images (Trivy/Snyk) avant push + admission controller (Kyverno/OPA)</w:t>
      </w:r>
    </w:p>
    <w:p>
      <w:pPr>
        <w:pStyle w:val="ListBullet"/>
        <w:ind w:left="283"/>
      </w:pPr>
      <w:r/>
      <w:r>
        <w:rPr>
          <w:sz w:val="22"/>
        </w:rPr>
        <w:t>Kubernetes : RBAC strict, NetworkPolicies, PodSecurityStandards (restricted)</w:t>
      </w:r>
    </w:p>
    <w:p>
      <w:pPr>
        <w:pStyle w:val="ListBullet"/>
        <w:ind w:left="283"/>
      </w:pPr>
      <w:r/>
      <w:r>
        <w:rPr>
          <w:sz w:val="22"/>
        </w:rPr>
        <w:t>Serveurs legacy / OT : isolation réseau forte + monitoring renforcé compensatoire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9  Indicateurs et reporting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Indicateur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Définition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Cible</w:t>
            </w:r>
          </w:p>
        </w:tc>
      </w:tr>
      <w:tr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Couverture EDR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Endpoints avec EDR actif / Total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99%</w:t>
            </w:r>
          </w:p>
        </w:tc>
      </w:tr>
      <w:tr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MTTD (Mean Time To Detect)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Temps moyen entre infection et détection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&lt; 1 h</w:t>
            </w:r>
          </w:p>
        </w:tc>
      </w:tr>
      <w:tr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MTTR (Mean Time To Respond)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Temps moyen entre détection et containment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&lt; 4 h</w:t>
            </w:r>
          </w:p>
        </w:tc>
      </w:tr>
      <w:tr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Taux d'incidents bloqués automatiquement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Bloqués auto / Total détections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95%</w:t>
            </w:r>
          </w:p>
        </w:tc>
      </w:tr>
      <w:tr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Taux d'exceptions actives expirées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Exceptions périmées / Total exceptions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0%</w:t>
            </w:r>
          </w:p>
        </w:tc>
      </w:tr>
      <w:tr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Taux de patch malware-related sous 7j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Patchs critiques appliqués / Total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95%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10  Revue et amélioration</w:t>
      </w:r>
    </w:p>
    <w:p>
      <w:pPr>
        <w:pStyle w:val="ListBullet"/>
        <w:ind w:left="283"/>
      </w:pPr>
      <w:r/>
      <w:r>
        <w:rPr>
          <w:sz w:val="22"/>
        </w:rPr>
        <w:t>Revue annuelle de la politique en revue de direction</w:t>
      </w:r>
    </w:p>
    <w:p>
      <w:pPr>
        <w:pStyle w:val="ListBullet"/>
        <w:ind w:left="283"/>
      </w:pPr>
      <w:r/>
      <w:r>
        <w:rPr>
          <w:sz w:val="22"/>
        </w:rPr>
        <w:t>Exercice purple team annuel pour valider la couverture détection</w:t>
      </w:r>
    </w:p>
    <w:p>
      <w:pPr>
        <w:pStyle w:val="ListBullet"/>
        <w:ind w:left="283"/>
      </w:pPr>
      <w:r/>
      <w:r>
        <w:rPr>
          <w:sz w:val="22"/>
        </w:rPr>
        <w:t>Retour d'expérience systématique après chaque incident significatif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11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Politique anti-malware et EDR — ISO/IEC 27001:2022 — A.8.7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