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C9A961"/>
          <w:sz w:val="28"/>
        </w:rPr>
        <w:t>ISO/IEC 27001:2022</w:t>
      </w:r>
    </w:p>
    <w:p>
      <w:pPr>
        <w:spacing w:before="400"/>
        <w:jc w:val="center"/>
      </w:pPr>
      <w:r>
        <w:rPr>
          <w:b/>
          <w:color w:val="1F3A5F"/>
          <w:sz w:val="48"/>
        </w:rPr>
        <w:t>Plan de communication SMSI</w:t>
      </w:r>
    </w:p>
    <w:p>
      <w:pPr>
        <w:jc w:val="center"/>
      </w:pPr>
      <w:r>
        <w:rPr>
          <w:i/>
          <w:color w:val="555555"/>
          <w:sz w:val="26"/>
        </w:rPr>
        <w:t>Clause 7.4 — Communication interne, externe et de crise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4535"/>
      </w:tblGrid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Référence document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DOC-SMSI-COM-001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Date de publication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15/05/2026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Statut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Modèle — à adapter au contexte</w:t>
            </w:r>
          </w:p>
        </w:tc>
      </w:tr>
      <w:tr>
        <w:tc>
          <w:tcPr>
            <w:tcW w:type="dxa" w:w="4986"/>
            <w:shd w:fill="F4F1EA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b/>
                <w:sz w:val="20"/>
              </w:rPr>
              <w:t>Diffusion</w:t>
            </w:r>
          </w:p>
        </w:tc>
        <w:tc>
          <w:tcPr>
            <w:tcW w:type="dxa" w:w="4986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>
              <w:rPr>
                <w:sz w:val="20"/>
              </w:rPr>
              <w:t>Usage interne — Confidentiel C2</w:t>
            </w:r>
          </w:p>
        </w:tc>
      </w:tr>
    </w:tbl>
    <w:p>
      <w:pPr>
        <w:spacing w:before="600"/>
        <w:jc w:val="both"/>
      </w:pPr>
      <w:r>
        <w:rPr>
          <w:i/>
          <w:color w:val="555555"/>
          <w:sz w:val="18"/>
        </w:rPr>
        <w:t>Ce modèle est fourni gratuitement par ayinedjimi-consultants.fr à des fins pédagogiques et de support à la mise en conformité ISO/IEC 27001:2022. Il doit être adapté au contexte, au périmètre et aux exigences spécifiques de l'organisme utilisateur. La responsabilité de la conformité finale incombe à l'utilisateur. Toute reproduction commerciale est interdite.</w:t>
      </w:r>
    </w:p>
    <w:p>
      <w:r>
        <w:br w:type="page"/>
      </w:r>
    </w:p>
    <w:p>
      <w:pPr>
        <w:spacing w:after="240"/>
      </w:pPr>
      <w:r>
        <w:rPr>
          <w:b/>
          <w:color w:val="1F3A5F"/>
          <w:sz w:val="36"/>
        </w:rPr>
        <w:t>Sommaire</w:t>
      </w:r>
    </w:p>
    <w:p>
      <w:pPr>
        <w:ind w:left="0"/>
      </w:pPr>
      <w:r>
        <w:rPr>
          <w:b/>
          <w:color w:val="1F3A5F"/>
          <w:sz w:val="22"/>
        </w:rPr>
        <w:t>1  Objet et périmètre</w:t>
      </w:r>
    </w:p>
    <w:p>
      <w:pPr>
        <w:ind w:left="0"/>
      </w:pPr>
      <w:r>
        <w:rPr>
          <w:b/>
          <w:color w:val="1F3A5F"/>
          <w:sz w:val="22"/>
        </w:rPr>
        <w:t>2  Principes directeurs de communication</w:t>
      </w:r>
    </w:p>
    <w:p>
      <w:pPr>
        <w:ind w:left="0"/>
      </w:pPr>
      <w:r>
        <w:rPr>
          <w:b/>
          <w:color w:val="1F3A5F"/>
          <w:sz w:val="22"/>
        </w:rPr>
        <w:t>3  Communication interne</w:t>
      </w:r>
    </w:p>
    <w:p>
      <w:pPr>
        <w:ind w:left="283"/>
      </w:pPr>
      <w:r>
        <w:rPr>
          <w:sz w:val="22"/>
        </w:rPr>
        <w:t>3.1  Public, objectifs, canaux</w:t>
      </w:r>
    </w:p>
    <w:p>
      <w:pPr>
        <w:ind w:left="283"/>
      </w:pPr>
      <w:r>
        <w:rPr>
          <w:sz w:val="22"/>
        </w:rPr>
        <w:t>3.2  Plan annuel de communication interne</w:t>
      </w:r>
    </w:p>
    <w:p>
      <w:pPr>
        <w:ind w:left="0"/>
      </w:pPr>
      <w:r>
        <w:rPr>
          <w:b/>
          <w:color w:val="1F3A5F"/>
          <w:sz w:val="22"/>
        </w:rPr>
        <w:t>4  Communication externe</w:t>
      </w:r>
    </w:p>
    <w:p>
      <w:pPr>
        <w:ind w:left="283"/>
      </w:pPr>
      <w:r>
        <w:rPr>
          <w:sz w:val="22"/>
        </w:rPr>
        <w:t>4.1  Public cible et messages clés</w:t>
      </w:r>
    </w:p>
    <w:p>
      <w:pPr>
        <w:ind w:left="283"/>
      </w:pPr>
      <w:r>
        <w:rPr>
          <w:sz w:val="22"/>
        </w:rPr>
        <w:t>4.2  Plan annuel de communication externe</w:t>
      </w:r>
    </w:p>
    <w:p>
      <w:pPr>
        <w:ind w:left="0"/>
      </w:pPr>
      <w:r>
        <w:rPr>
          <w:b/>
          <w:color w:val="1F3A5F"/>
          <w:sz w:val="22"/>
        </w:rPr>
        <w:t>5  Communication de crise</w:t>
      </w:r>
    </w:p>
    <w:p>
      <w:pPr>
        <w:ind w:left="283"/>
      </w:pPr>
      <w:r>
        <w:rPr>
          <w:sz w:val="22"/>
        </w:rPr>
        <w:t>5.1  Cellule de crise et porte-parole</w:t>
      </w:r>
    </w:p>
    <w:p>
      <w:pPr>
        <w:ind w:left="283"/>
      </w:pPr>
      <w:r>
        <w:rPr>
          <w:sz w:val="22"/>
        </w:rPr>
        <w:t>5.2  Matrice qui-quoi-quand-comment</w:t>
      </w:r>
    </w:p>
    <w:p>
      <w:pPr>
        <w:ind w:left="283"/>
      </w:pPr>
      <w:r>
        <w:rPr>
          <w:sz w:val="22"/>
        </w:rPr>
        <w:t>5.3  Templates de messages</w:t>
      </w:r>
    </w:p>
    <w:p>
      <w:pPr>
        <w:ind w:left="0"/>
      </w:pPr>
      <w:r>
        <w:rPr>
          <w:b/>
          <w:color w:val="1F3A5F"/>
          <w:sz w:val="22"/>
        </w:rPr>
        <w:t>6  Indicateurs de performance</w:t>
      </w:r>
    </w:p>
    <w:p>
      <w:pPr>
        <w:ind w:left="0"/>
      </w:pPr>
      <w:r>
        <w:rPr>
          <w:b/>
          <w:color w:val="1F3A5F"/>
          <w:sz w:val="22"/>
        </w:rPr>
        <w:t>7  Revue et mise à jour</w:t>
      </w:r>
    </w:p>
    <w:p>
      <w:pPr>
        <w:ind w:left="0"/>
      </w:pPr>
      <w:r>
        <w:rPr>
          <w:b/>
          <w:color w:val="1F3A5F"/>
          <w:sz w:val="22"/>
        </w:rPr>
        <w:t>8  Validation et signatures</w:t>
      </w:r>
    </w:p>
    <w:p>
      <w:r>
        <w:br w:type="page"/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1  Objet et périmètre</w:t>
      </w:r>
    </w:p>
    <w:p>
      <w:pPr>
        <w:jc w:val="both"/>
      </w:pPr>
      <w:r>
        <w:rPr>
          <w:b w:val="0"/>
          <w:i w:val="0"/>
          <w:sz w:val="22"/>
        </w:rPr>
        <w:t>Le présent plan de communication répond à l'exigence de la clause 7.4 de la norme ISO/IEC 27001:2022. Il définit les modalités de communication relatives au SMSI, en interne comme en externe, en situation normale comme en situation de crise. Il vise à garantir l'efficacité du SMSI par une circulation appropriée de l'information sécurité.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2  Principes directeurs de communication</w:t>
      </w:r>
    </w:p>
    <w:p>
      <w:pPr>
        <w:pStyle w:val="ListBullet"/>
        <w:ind w:left="283"/>
      </w:pPr>
      <w:r/>
      <w:r>
        <w:rPr>
          <w:sz w:val="22"/>
        </w:rPr>
        <w:t>Pertinence — informer la bonne personne, au bon moment, avec le bon niveau de détail</w:t>
      </w:r>
    </w:p>
    <w:p>
      <w:pPr>
        <w:pStyle w:val="ListBullet"/>
        <w:ind w:left="283"/>
      </w:pPr>
      <w:r/>
      <w:r>
        <w:rPr>
          <w:sz w:val="22"/>
        </w:rPr>
        <w:t>Cohérence — messages alignés avec la Politique SMSI et la stratégie d'entreprise</w:t>
      </w:r>
    </w:p>
    <w:p>
      <w:pPr>
        <w:pStyle w:val="ListBullet"/>
        <w:ind w:left="283"/>
      </w:pPr>
      <w:r/>
      <w:r>
        <w:rPr>
          <w:sz w:val="22"/>
        </w:rPr>
        <w:t>Transparence — communication claire, sans dissimulation, en particulier lors d'incidents</w:t>
      </w:r>
    </w:p>
    <w:p>
      <w:pPr>
        <w:pStyle w:val="ListBullet"/>
        <w:ind w:left="283"/>
      </w:pPr>
      <w:r/>
      <w:r>
        <w:rPr>
          <w:sz w:val="22"/>
        </w:rPr>
        <w:t>Confidentialité — respect de la classification de l'information dans tout message</w:t>
      </w:r>
    </w:p>
    <w:p>
      <w:pPr>
        <w:pStyle w:val="ListBullet"/>
        <w:ind w:left="283"/>
      </w:pPr>
      <w:r/>
      <w:r>
        <w:rPr>
          <w:sz w:val="22"/>
        </w:rPr>
        <w:t>Traçabilité — conservation des messages clés, en particulier en situation de crise</w:t>
      </w:r>
    </w:p>
    <w:p>
      <w:pPr>
        <w:pStyle w:val="ListBullet"/>
        <w:ind w:left="283"/>
      </w:pPr>
      <w:r/>
      <w:r>
        <w:rPr>
          <w:sz w:val="22"/>
        </w:rPr>
        <w:t>Bidirectionnalité — encourager le feedback et le signalement de la base au sommet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3  Communication interne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3.1  Public, objectifs, canaux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Public</w:t>
            </w:r>
          </w:p>
        </w:tc>
        <w:tc>
          <w:tcPr>
            <w:tcW w:type="dxa" w:w="198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Objectif principal</w:t>
            </w:r>
          </w:p>
        </w:tc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Canal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Fréquence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Émetteur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Générale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Reporting risques, posture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Comité Sécurité, COMEX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Mensuel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</w:t>
            </w:r>
          </w:p>
        </w:tc>
      </w:tr>
      <w:tr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Comité Sécurité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Pilotage opérationnel SMSI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Réunion comité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Mensuel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Managers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Cascading politique, sensibilisation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Newsletter, briefings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Trimestriel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+ Comm</w:t>
            </w:r>
          </w:p>
        </w:tc>
      </w:tr>
      <w:tr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Collaborateurs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Sensibilisation, vigilance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Intranet, e-learning, affiches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Continu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+ RH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IT/DSI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Procédures, alertes techniques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ITSM, mails, slack canal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Continu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SOC + RSSI</w:t>
            </w:r>
          </w:p>
        </w:tc>
      </w:tr>
      <w:tr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Nouveaux entrants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Onboarding sécurité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Module obligatoire J+7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À l'arrivée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RH + RSSI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CSE / IRP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Information consultation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Réunion CSE, notes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Trimestriel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DRH + RSSI</w:t>
            </w:r>
          </w:p>
        </w:tc>
      </w:tr>
    </w:tbl>
    <w:p>
      <w:pPr>
        <w:keepNext/>
        <w:spacing w:before="280" w:after="120"/>
      </w:pPr>
      <w:r>
        <w:rPr>
          <w:b/>
          <w:color w:val="1F3A5F"/>
          <w:sz w:val="26"/>
        </w:rPr>
        <w:t>3.2  Plan annuel de communication interne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Mois</w:t>
            </w:r>
          </w:p>
        </w:tc>
        <w:tc>
          <w:tcPr>
            <w:tcW w:type="dxa" w:w="3402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Action principale</w:t>
            </w:r>
          </w:p>
        </w:tc>
        <w:tc>
          <w:tcPr>
            <w:tcW w:type="dxa" w:w="198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Public</w:t>
            </w:r>
          </w:p>
        </w:tc>
        <w:tc>
          <w:tcPr>
            <w:tcW w:type="dxa" w:w="198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Canal</w:t>
            </w:r>
          </w:p>
        </w:tc>
      </w:tr>
      <w:tr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Janvier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Vœux RSSI + roadmap annuelle SMSI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Tous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All-hands, intranet</w:t>
            </w:r>
          </w:p>
        </w:tc>
      </w:tr>
      <w:tr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Février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Campagne mots de passe + MFA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Tous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E-learning, posters</w:t>
            </w:r>
          </w:p>
        </w:tc>
      </w:tr>
      <w:tr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Mars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Mois de la fraude — phishing simulé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Tous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Email + débrief</w:t>
            </w:r>
          </w:p>
        </w:tc>
      </w:tr>
      <w:tr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Avril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Focus RGPD — droits personnes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Tous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Newsletter, ateliers</w:t>
            </w:r>
          </w:p>
        </w:tc>
      </w:tr>
      <w:tr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Mai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Sensibilisation données sensibles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Métiers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Web séminaire</w:t>
            </w:r>
          </w:p>
        </w:tc>
      </w:tr>
      <w:tr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Juin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Pré-vacances : nomadisme, BYOD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Tous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Email + affiches</w:t>
            </w:r>
          </w:p>
        </w:tc>
      </w:tr>
      <w:tr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Septembre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Rentrée sécurité — rappels charte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Tous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Quiz, intranet</w:t>
            </w:r>
          </w:p>
        </w:tc>
      </w:tr>
      <w:tr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Octobre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Cybermois — événements internes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Tous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Conférences, jeux</w:t>
            </w:r>
          </w:p>
        </w:tc>
      </w:tr>
      <w:tr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Novembre</w:t>
            </w:r>
          </w:p>
        </w:tc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Exercice de crise interne (tabletop)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Cellule crise + N-1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Atelier</w:t>
            </w:r>
          </w:p>
        </w:tc>
      </w:tr>
      <w:tr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Décembre</w:t>
            </w:r>
          </w:p>
        </w:tc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Bilan annuel SMSI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Tous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Newsletter + COMEX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4  Communication externe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4.1  Public cible et messages clés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Public externe</w:t>
            </w:r>
          </w:p>
        </w:tc>
        <w:tc>
          <w:tcPr>
            <w:tcW w:type="dxa" w:w="2835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Message clé type</w:t>
            </w:r>
          </w:p>
        </w:tc>
        <w:tc>
          <w:tcPr>
            <w:tcW w:type="dxa" w:w="2268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Canal préféré</w:t>
            </w:r>
          </w:p>
        </w:tc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Validation requise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Clients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Engagement sécurité, certifications, transparence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Site web, mailing, espace client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+ Comm</w:t>
            </w:r>
          </w:p>
        </w:tc>
      </w:tr>
      <w:tr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Prospects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Différenciation sécurité, certifications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Sales kit, white-papers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+ Marketing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Fournisseurs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Exigences sécurité, code de conduite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Portail fournisseur, contrats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+ Achats</w:t>
            </w:r>
          </w:p>
        </w:tc>
      </w:tr>
      <w:tr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Régulateurs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Conformité, notifications, coopération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Portails dédiés, courriers officiels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+ Juridique</w:t>
            </w:r>
          </w:p>
        </w:tc>
      </w:tr>
      <w:tr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Médias</w:t>
            </w:r>
          </w:p>
        </w:tc>
        <w:tc>
          <w:tcPr>
            <w:tcW w:type="dxa" w:w="2835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Posture, expertise, communication crise</w:t>
            </w:r>
          </w:p>
        </w:tc>
        <w:tc>
          <w:tcPr>
            <w:tcW w:type="dxa" w:w="2268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Communiqués, interviews porte-parole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+ Comm</w:t>
            </w:r>
          </w:p>
        </w:tc>
      </w:tr>
      <w:tr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Communauté cyber</w:t>
            </w:r>
          </w:p>
        </w:tc>
        <w:tc>
          <w:tcPr>
            <w:tcW w:type="dxa" w:w="2835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Partage d'expérience, threat intel</w:t>
            </w:r>
          </w:p>
        </w:tc>
        <w:tc>
          <w:tcPr>
            <w:tcW w:type="dxa" w:w="2268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Conférences, blog, CERT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</w:t>
            </w:r>
          </w:p>
        </w:tc>
      </w:tr>
    </w:tbl>
    <w:p>
      <w:pPr>
        <w:keepNext/>
        <w:spacing w:before="280" w:after="120"/>
      </w:pPr>
      <w:r>
        <w:rPr>
          <w:b/>
          <w:color w:val="1F3A5F"/>
          <w:sz w:val="26"/>
        </w:rPr>
        <w:t>4.2  Plan annuel de communication externe</w:t>
      </w:r>
    </w:p>
    <w:p>
      <w:pPr>
        <w:pStyle w:val="ListBullet"/>
        <w:ind w:left="283"/>
      </w:pPr>
      <w:r/>
      <w:r>
        <w:rPr>
          <w:sz w:val="22"/>
        </w:rPr>
        <w:t>Publication trimestrielle d'un rapport synthétique sécurité destiné aux clients grands comptes</w:t>
      </w:r>
    </w:p>
    <w:p>
      <w:pPr>
        <w:pStyle w:val="ListBullet"/>
        <w:ind w:left="283"/>
      </w:pPr>
      <w:r/>
      <w:r>
        <w:rPr>
          <w:sz w:val="22"/>
        </w:rPr>
        <w:t>Mise à jour annuelle de la page Trust Center du site web (certifications, attestations, FAQ)</w:t>
      </w:r>
    </w:p>
    <w:p>
      <w:pPr>
        <w:pStyle w:val="ListBullet"/>
        <w:ind w:left="283"/>
      </w:pPr>
      <w:r/>
      <w:r>
        <w:rPr>
          <w:sz w:val="22"/>
        </w:rPr>
        <w:t>Participation à 2 à 4 événements professionnels par an (FIC, Les Assises, RSAC, ICS-CERT, etc.)</w:t>
      </w:r>
    </w:p>
    <w:p>
      <w:pPr>
        <w:pStyle w:val="ListBullet"/>
        <w:ind w:left="283"/>
      </w:pPr>
      <w:r/>
      <w:r>
        <w:rPr>
          <w:sz w:val="22"/>
        </w:rPr>
        <w:t>Publication mensuelle sur LinkedIn (veille, retours d'expérience, recrutement)</w:t>
      </w:r>
    </w:p>
    <w:p>
      <w:pPr>
        <w:pStyle w:val="ListBullet"/>
        <w:ind w:left="283"/>
      </w:pPr>
      <w:r/>
      <w:r>
        <w:rPr>
          <w:sz w:val="22"/>
        </w:rPr>
        <w:t>Communication immédiate auprès des clients impactés en cas d'incident significatif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5  Communication de crise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5.1  Cellule de crise et porte-parole</w:t>
      </w:r>
    </w:p>
    <w:p>
      <w:pPr>
        <w:jc w:val="both"/>
      </w:pPr>
      <w:r>
        <w:rPr>
          <w:b w:val="0"/>
          <w:i w:val="0"/>
          <w:sz w:val="22"/>
        </w:rPr>
        <w:t>En situation de crise majeure (ransomware, fuite massive, incident NIS 2), la communication est centralisée par la cellule de crise. Aucun collaborateur n'est autorisé à s'exprimer publiquement sans validation.</w:t>
      </w:r>
    </w:p>
    <w:p>
      <w:pPr>
        <w:pStyle w:val="ListBullet"/>
        <w:ind w:left="283"/>
      </w:pPr>
      <w:r/>
      <w:r>
        <w:rPr>
          <w:sz w:val="22"/>
        </w:rPr>
        <w:t>Pilote de crise : Directeur Général (ou délégué)</w:t>
      </w:r>
    </w:p>
    <w:p>
      <w:pPr>
        <w:pStyle w:val="ListBullet"/>
        <w:ind w:left="283"/>
      </w:pPr>
      <w:r/>
      <w:r>
        <w:rPr>
          <w:sz w:val="22"/>
        </w:rPr>
        <w:t>Coordinateur communication : Directeur Communication</w:t>
      </w:r>
    </w:p>
    <w:p>
      <w:pPr>
        <w:pStyle w:val="ListBullet"/>
        <w:ind w:left="283"/>
      </w:pPr>
      <w:r/>
      <w:r>
        <w:rPr>
          <w:sz w:val="22"/>
        </w:rPr>
        <w:t>Porte-parole technique : RSSI (ou suppléant)</w:t>
      </w:r>
    </w:p>
    <w:p>
      <w:pPr>
        <w:pStyle w:val="ListBullet"/>
        <w:ind w:left="283"/>
      </w:pPr>
      <w:r/>
      <w:r>
        <w:rPr>
          <w:sz w:val="22"/>
        </w:rPr>
        <w:t>Porte-parole médias : DG ou Directeur Communication, formé media-training</w:t>
      </w:r>
    </w:p>
    <w:p>
      <w:pPr>
        <w:pStyle w:val="ListBullet"/>
        <w:ind w:left="283"/>
      </w:pPr>
      <w:r/>
      <w:r>
        <w:rPr>
          <w:sz w:val="22"/>
        </w:rPr>
        <w:t>Support juridique : Directeur Juridique + DPO</w:t>
      </w:r>
    </w:p>
    <w:p>
      <w:pPr>
        <w:pStyle w:val="ListBullet"/>
        <w:ind w:left="283"/>
      </w:pPr>
      <w:r/>
      <w:r>
        <w:rPr>
          <w:sz w:val="22"/>
        </w:rPr>
        <w:t>Suivi / scribe : Assistant de direction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5.2  Matrice qui-quoi-quand-comment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Étape</w:t>
            </w:r>
          </w:p>
        </w:tc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Cible</w:t>
            </w:r>
          </w:p>
        </w:tc>
        <w:tc>
          <w:tcPr>
            <w:tcW w:type="dxa" w:w="198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Message</w:t>
            </w:r>
          </w:p>
        </w:tc>
        <w:tc>
          <w:tcPr>
            <w:tcW w:type="dxa" w:w="1020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Délai</w:t>
            </w:r>
          </w:p>
        </w:tc>
        <w:tc>
          <w:tcPr>
            <w:tcW w:type="dxa" w:w="1417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Canal</w:t>
            </w:r>
          </w:p>
        </w:tc>
        <w:tc>
          <w:tcPr>
            <w:tcW w:type="dxa" w:w="1134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Émetteur</w:t>
            </w:r>
          </w:p>
        </w:tc>
      </w:tr>
      <w:tr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T+0 à T+1h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Cellule de crise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Alerte interne, mobilisation</w:t>
            </w:r>
          </w:p>
        </w:tc>
        <w:tc>
          <w:tcPr>
            <w:tcW w:type="dxa" w:w="102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Immédiat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Téléphone + numéro crise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SOC / Astreinte</w:t>
            </w:r>
          </w:p>
        </w:tc>
      </w:tr>
      <w:tr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T+1h à T+4h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Générale, COMEX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Premiers éléments incident</w:t>
            </w:r>
          </w:p>
        </w:tc>
        <w:tc>
          <w:tcPr>
            <w:tcW w:type="dxa" w:w="1020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 à 4h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Réunion crise + SMS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Cellule crise</w:t>
            </w:r>
          </w:p>
        </w:tc>
      </w:tr>
      <w:tr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T+4h à T+24h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Collaborateurs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Consigne (déconnexion, prudence)</w:t>
            </w:r>
          </w:p>
        </w:tc>
        <w:tc>
          <w:tcPr>
            <w:tcW w:type="dxa" w:w="102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Sous 24h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Email, intranet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</w:t>
            </w:r>
          </w:p>
        </w:tc>
      </w:tr>
      <w:tr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T+24h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ANSSI (NIS 2)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Alerte précoce</w:t>
            </w:r>
          </w:p>
        </w:tc>
        <w:tc>
          <w:tcPr>
            <w:tcW w:type="dxa" w:w="1020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Sous 24h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MonServiceSécurisé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</w:t>
            </w:r>
          </w:p>
        </w:tc>
      </w:tr>
      <w:tr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T+72h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CNIL si DCP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Notification de violation</w:t>
            </w:r>
          </w:p>
        </w:tc>
        <w:tc>
          <w:tcPr>
            <w:tcW w:type="dxa" w:w="102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72h max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Téléservice CNIL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DPO</w:t>
            </w:r>
          </w:p>
        </w:tc>
      </w:tr>
      <w:tr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T+72h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ANSSI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Notification incident</w:t>
            </w:r>
          </w:p>
        </w:tc>
        <w:tc>
          <w:tcPr>
            <w:tcW w:type="dxa" w:w="1020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72h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MonServiceSécurisé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</w:t>
            </w:r>
          </w:p>
        </w:tc>
      </w:tr>
      <w:tr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T+24 à 72h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Clients impactés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Information factuelle, mesures</w:t>
            </w:r>
          </w:p>
        </w:tc>
        <w:tc>
          <w:tcPr>
            <w:tcW w:type="dxa" w:w="102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Sous 72h max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Email + téléphone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Comm + Sales</w:t>
            </w:r>
          </w:p>
        </w:tc>
      </w:tr>
      <w:tr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T+72h+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Médias / public</w:t>
            </w:r>
          </w:p>
        </w:tc>
        <w:tc>
          <w:tcPr>
            <w:tcW w:type="dxa" w:w="198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Communiqué officiel</w:t>
            </w:r>
          </w:p>
        </w:tc>
        <w:tc>
          <w:tcPr>
            <w:tcW w:type="dxa" w:w="1020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Selon impact</w:t>
            </w:r>
          </w:p>
        </w:tc>
        <w:tc>
          <w:tcPr>
            <w:tcW w:type="dxa" w:w="1417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Communiqué presse</w:t>
            </w:r>
          </w:p>
        </w:tc>
        <w:tc>
          <w:tcPr>
            <w:tcW w:type="dxa" w:w="1134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+ Comm</w:t>
            </w:r>
          </w:p>
        </w:tc>
      </w:tr>
      <w:tr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T+1 mois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Régulateurs / public</w:t>
            </w:r>
          </w:p>
        </w:tc>
        <w:tc>
          <w:tcPr>
            <w:tcW w:type="dxa" w:w="198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Rapport final, mesures correctives</w:t>
            </w:r>
          </w:p>
        </w:tc>
        <w:tc>
          <w:tcPr>
            <w:tcW w:type="dxa" w:w="1020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1 mois</w:t>
            </w:r>
          </w:p>
        </w:tc>
        <w:tc>
          <w:tcPr>
            <w:tcW w:type="dxa" w:w="1417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Rapport, page Trust</w:t>
            </w:r>
          </w:p>
        </w:tc>
        <w:tc>
          <w:tcPr>
            <w:tcW w:type="dxa" w:w="113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</w:t>
            </w:r>
          </w:p>
        </w:tc>
      </w:tr>
    </w:tbl>
    <w:p>
      <w:pPr>
        <w:keepNext/>
        <w:spacing w:before="280" w:after="120"/>
      </w:pPr>
      <w:r>
        <w:rPr>
          <w:b/>
          <w:color w:val="1F3A5F"/>
          <w:sz w:val="26"/>
        </w:rPr>
        <w:t>5.3  Templates de messages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4F1EA" w:val="clear"/>
            <w:tcBorders>
              <w:top w:val="single" w:sz="6" w:color="C9A961"/>
              <w:left w:val="single" w:sz="6" w:color="C9A961"/>
              <w:bottom w:val="single" w:sz="6" w:color="C9A961"/>
              <w:right w:val="single" w:sz="6" w:color="C9A961"/>
            </w:tcBorders>
          </w:tcPr>
          <w:p>
            <w:r/>
            <w:r>
              <w:rPr>
                <w:b/>
                <w:color w:val="C9A961"/>
                <w:sz w:val="20"/>
              </w:rPr>
              <w:t xml:space="preserve">Template 1 — Alerte interne (collaborateurs) — </w:t>
            </w:r>
            <w:r>
              <w:rPr>
                <w:i/>
                <w:color w:val="222222"/>
                <w:sz w:val="20"/>
              </w:rPr>
              <w:t>Objet : [URGENT — Sécurité SI] Consigne immédiate</w:t>
              <w:br/>
              <w:t>Bonjour,</w:t>
              <w:br/>
              <w:t>Un incident de sécurité est en cours de traitement. Par mesure de précaution, merci de :</w:t>
              <w:br/>
              <w:t>- ne pas ouvrir d'email suspect, en particulier de l'expéditeur [X]</w:t>
              <w:br/>
              <w:t>- déconnecter votre poste en cas de comportement anormal</w:t>
              <w:br/>
              <w:t>- signaler tout incident au 0800-XX-XX-XX ou abuse@…</w:t>
              <w:br/>
              <w:t>Nous reviendrons vers vous avec des éléments dans les meilleurs délais. Merci de votre vigilance.</w:t>
              <w:br/>
              <w:t>La Direction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4F1EA" w:val="clear"/>
            <w:tcBorders>
              <w:top w:val="single" w:sz="6" w:color="C9A961"/>
              <w:left w:val="single" w:sz="6" w:color="C9A961"/>
              <w:bottom w:val="single" w:sz="6" w:color="C9A961"/>
              <w:right w:val="single" w:sz="6" w:color="C9A961"/>
            </w:tcBorders>
          </w:tcPr>
          <w:p>
            <w:r/>
            <w:r>
              <w:rPr>
                <w:b/>
                <w:color w:val="C9A961"/>
                <w:sz w:val="20"/>
              </w:rPr>
              <w:t xml:space="preserve">Template 2 — Notification client (incident potentiellement impactant) — </w:t>
            </w:r>
            <w:r>
              <w:rPr>
                <w:i/>
                <w:color w:val="222222"/>
                <w:sz w:val="20"/>
              </w:rPr>
              <w:t>Objet : Notification de sécurité importante</w:t>
              <w:br/>
              <w:t>Madame, Monsieur,</w:t>
              <w:br/>
              <w:t>Nous vous informons d'un incident de sécurité concernant [périmètre]. À ce stade, [impact connu/incertain]. Nous avons immédiatement mis en œuvre les mesures suivantes : [mesures]. Nous restons en contact étroit avec les autorités compétentes. Nous vous tiendrons informés de l'évolution. Votre interlocuteur dédié : [Nom, contact].</w:t>
              <w:br/>
              <w:t>Cordialement, [Nom, fonction]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4F1EA" w:val="clear"/>
            <w:tcBorders>
              <w:top w:val="single" w:sz="6" w:color="C9A961"/>
              <w:left w:val="single" w:sz="6" w:color="C9A961"/>
              <w:bottom w:val="single" w:sz="6" w:color="C9A961"/>
              <w:right w:val="single" w:sz="6" w:color="C9A961"/>
            </w:tcBorders>
          </w:tcPr>
          <w:p>
            <w:r/>
            <w:r>
              <w:rPr>
                <w:b/>
                <w:color w:val="C9A961"/>
                <w:sz w:val="20"/>
              </w:rPr>
              <w:t xml:space="preserve">Template 3 — Communiqué presse — </w:t>
            </w:r>
            <w:r>
              <w:rPr>
                <w:i/>
                <w:color w:val="222222"/>
                <w:sz w:val="20"/>
              </w:rPr>
              <w:t>[Ville], [Date] — [Organisme] confirme avoir été victime d'un incident de cybersécurité détecté le [date]. Dès la détection, l'organisme a mobilisé sa cellule de crise et notifié les autorités compétentes (ANSSI, CNIL). [Information sur impact connu]. Aucun élément ne permet à ce stade de confirmer [X]. Une enquête interne est en cours avec l'appui d'experts externes. L'organisme rappelle son engagement à protéger les informations qui lui sont confiées et publiera des mises à jour régulières.</w:t>
              <w:br/>
              <w:t>Contact presse : [Nom, email, téléphone]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6  Indicateurs de performance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3402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Indicateur</w:t>
            </w:r>
          </w:p>
        </w:tc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Cible</w:t>
            </w:r>
          </w:p>
        </w:tc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Fréquence</w:t>
            </w:r>
          </w:p>
        </w:tc>
        <w:tc>
          <w:tcPr>
            <w:tcW w:type="dxa" w:w="1701"/>
            <w:shd w:fill="1F3A5F" w:val="clear"/>
            <w:tcBorders>
              <w:top w:val="single" w:sz="8" w:color="1F3A5F"/>
              <w:left w:val="single" w:sz="8" w:color="1F3A5F"/>
              <w:bottom w:val="single" w:sz="8" w:color="1F3A5F"/>
              <w:right w:val="single" w:sz="8" w:color="1F3A5F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Source</w:t>
            </w:r>
          </w:p>
        </w:tc>
      </w:tr>
      <w:tr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Taux de lecture newsletter sécurité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70%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Trimestriel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Outil mailing</w:t>
            </w:r>
          </w:p>
        </w:tc>
      </w:tr>
      <w:tr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Taux de complétion e-learning obligatoire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95%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Annuel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LMS</w:t>
            </w:r>
          </w:p>
        </w:tc>
      </w:tr>
      <w:tr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Taux de clic phishing simulé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&lt;= 5%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Trimestriel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Plateforme phishing</w:t>
            </w:r>
          </w:p>
        </w:tc>
      </w:tr>
      <w:tr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Délai moyen notification crise interne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&lt; 1h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Par incident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Journal crise</w:t>
            </w:r>
          </w:p>
        </w:tc>
      </w:tr>
      <w:tr>
        <w:tc>
          <w:tcPr>
            <w:tcW w:type="dxa" w:w="3402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Délai notification clients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&lt; 72h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Par incident</w:t>
            </w:r>
          </w:p>
        </w:tc>
        <w:tc>
          <w:tcPr>
            <w:tcW w:type="dxa" w:w="1701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Journal crise</w:t>
            </w:r>
          </w:p>
        </w:tc>
      </w:tr>
      <w:tr>
        <w:tc>
          <w:tcPr>
            <w:tcW w:type="dxa" w:w="3402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Satisfaction interne (enquête)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&gt;= 4/5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Annuel</w:t>
            </w:r>
          </w:p>
        </w:tc>
        <w:tc>
          <w:tcPr>
            <w:tcW w:type="dxa" w:w="1701"/>
            <w:shd w:fill="F8F6F0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Enquête climat</w:t>
            </w:r>
          </w:p>
        </w:tc>
      </w:tr>
    </w:tbl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7  Revue et mise à jour</w:t>
      </w:r>
    </w:p>
    <w:p>
      <w:pPr>
        <w:pStyle w:val="ListBullet"/>
        <w:ind w:left="283"/>
      </w:pPr>
      <w:r/>
      <w:r>
        <w:rPr>
          <w:sz w:val="22"/>
        </w:rPr>
        <w:t>Revue annuelle obligatoire en revue de direction</w:t>
      </w:r>
    </w:p>
    <w:p>
      <w:pPr>
        <w:pStyle w:val="ListBullet"/>
        <w:ind w:left="283"/>
      </w:pPr>
      <w:r/>
      <w:r>
        <w:rPr>
          <w:sz w:val="22"/>
        </w:rPr>
        <w:t>Test annuel d'au moins un canal de crise (exercice tabletop)</w:t>
      </w:r>
    </w:p>
    <w:p>
      <w:pPr>
        <w:pStyle w:val="ListBullet"/>
        <w:ind w:left="283"/>
      </w:pPr>
      <w:r/>
      <w:r>
        <w:rPr>
          <w:sz w:val="22"/>
        </w:rPr>
        <w:t>Mise à jour après chaque incident significatif (RETEX)</w:t>
      </w:r>
    </w:p>
    <w:p>
      <w:pPr>
        <w:keepNext/>
        <w:spacing w:before="360" w:after="160"/>
        <w:pBdr>
          <w:bottom w:val="single" w:sz="6" w:color="C9A961"/>
        </w:pBdr>
      </w:pPr>
      <w:r>
        <w:rPr>
          <w:b/>
          <w:color w:val="1F3A5F"/>
          <w:sz w:val="32"/>
        </w:rPr>
        <w:t>8  Validation et signatures</w:t>
      </w:r>
    </w:p>
    <w:p>
      <w:pPr>
        <w:keepNext/>
        <w:spacing w:before="280" w:after="120"/>
      </w:pPr>
      <w:r>
        <w:rPr>
          <w:b/>
          <w:color w:val="1F3A5F"/>
          <w:sz w:val="26"/>
        </w:rPr>
        <w:t>—  Signatures et approbation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Rédigé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Vérifié par</w:t>
            </w:r>
          </w:p>
        </w:tc>
        <w:tc>
          <w:tcPr>
            <w:tcW w:type="dxa" w:w="3324"/>
            <w:shd w:fill="1F3A5F" w:val="clear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pPr>
              <w:jc w:val="center"/>
            </w:pPr>
            <w:r/>
            <w:r>
              <w:rPr>
                <w:b/>
                <w:color w:val="FFFFFF"/>
                <w:sz w:val="20"/>
              </w:rPr>
              <w:t>Approuvé par</w:t>
            </w:r>
          </w:p>
        </w:tc>
      </w:tr>
      <w:tr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RSSI / Pilote SMSI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Comité sécurité</w:t>
              <w:br/>
              <w:t>Nom : ____________________</w:t>
              <w:br/>
              <w:t>Date : ____________________</w:t>
              <w:br/>
              <w:t>Signature :</w:t>
            </w:r>
          </w:p>
        </w:tc>
        <w:tc>
          <w:tcPr>
            <w:tcW w:type="dxa" w:w="3324"/>
            <w:tcBorders>
              <w:top w:val="single" w:sz="6" w:color="999999"/>
              <w:left w:val="single" w:sz="6" w:color="999999"/>
              <w:bottom w:val="single" w:sz="6" w:color="999999"/>
              <w:right w:val="single" w:sz="6" w:color="999999"/>
            </w:tcBorders>
          </w:tcPr>
          <w:p>
            <w:r/>
            <w:r>
              <w:rPr>
                <w:sz w:val="20"/>
              </w:rPr>
              <w:t>Direction générale</w:t>
              <w:br/>
              <w:t>Nom : ____________________</w:t>
              <w:br/>
              <w:t>Date : ____________________</w:t>
              <w:br/>
              <w:t>Signature :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134" w:bottom="124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555"/>
        <w:sz w:val="18"/>
      </w:rPr>
      <w:t xml:space="preserve">Plan de communication SMSI — ISO/IEC 27001:2022  |  Page </w:t>
    </w:r>
    <w:r>
      <w:fldChar w:fldCharType="begin"/>
      <w:instrText>PAGE</w:instrText>
      <w:fldChar w:fldCharType="end"/>
    </w:r>
    <w:r>
      <w:rPr>
        <w:color w:val="555555"/>
        <w:sz w:val="18"/>
      </w:rPr>
      <w:t xml:space="preserve"> / </w:t>
    </w:r>
    <w:r>
      <w:fldChar w:fldCharType="begin"/>
      <w:instrText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b/>
        <w:color w:val="1F3A5F"/>
        <w:sz w:val="18"/>
      </w:rPr>
      <w:t>ayinedjimi-consultants.fr</w:t>
    </w:r>
    <w:r>
      <w:rPr>
        <w:i/>
        <w:color w:val="555555"/>
        <w:sz w:val="18"/>
      </w:rPr>
      <w:t xml:space="preserve">  |  ISO/IEC 27001:2022 — Template Gratuit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