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0"/>
        <w:jc w:val="center"/>
      </w:pPr>
      <w:r>
        <w:rPr>
          <w:b/>
          <w:color w:val="1F4E79"/>
          <w:sz w:val="22"/>
        </w:rPr>
        <w:t>ISO/IEC 27001:2022 — TEMPLATE GRATUIT</w:t>
      </w:r>
    </w:p>
    <w:p>
      <w:pPr>
        <w:spacing w:before="400"/>
        <w:jc w:val="center"/>
      </w:pPr>
      <w:r>
        <w:rPr>
          <w:b/>
          <w:color w:val="0B2545"/>
          <w:sz w:val="52"/>
        </w:rPr>
        <w:t>Plan de continuité d'activité (PCA)</w:t>
      </w:r>
    </w:p>
    <w:p>
      <w:pPr>
        <w:jc w:val="center"/>
      </w:pPr>
      <w:r>
        <w:rPr>
          <w:i/>
          <w:color w:val="595959"/>
          <w:sz w:val="26"/>
        </w:rPr>
        <w:t>Conforme ISO 22301:2019 + ISO/IEC 27001:2022 — A.5.29 / A.5.30</w:t>
      </w:r>
    </w:p>
    <w:p/>
    <w:tbl>
      <w:tblPr>
        <w:tblW w:type="auto" w:w="0"/>
        <w:jc w:val="center"/>
        <w:tblLook w:firstColumn="1" w:firstRow="1" w:lastColumn="0" w:lastRow="0" w:noHBand="0" w:noVBand="1" w:val="04A0"/>
      </w:tblPr>
      <w:tblGrid>
        <w:gridCol w:w="4873"/>
        <w:gridCol w:w="4873"/>
      </w:tblGrid>
      <w:tr>
        <w:tc>
          <w:tcPr>
            <w:tcW w:type="dxa" w:w="3969"/>
            <w:shd w:val="clear" w:color="auto" w:fill="E7EAF1"/>
          </w:tcPr>
          <w:p>
            <w:r>
              <w:rPr>
                <w:b/>
              </w:rPr>
              <w:t>Référence</w:t>
            </w:r>
          </w:p>
        </w:tc>
        <w:tc>
          <w:tcPr>
            <w:tcW w:type="dxa" w:w="3969"/>
          </w:tcPr>
          <w:p>
            <w:r>
              <w:t>TPL-ISO27001-XXXX-v1.0</w:t>
            </w:r>
          </w:p>
        </w:tc>
      </w:tr>
      <w:tr>
        <w:tc>
          <w:tcPr>
            <w:tcW w:type="dxa" w:w="3969"/>
            <w:shd w:val="clear" w:color="auto" w:fill="E7EAF1"/>
          </w:tcPr>
          <w:p>
            <w:r>
              <w:rPr>
                <w:b/>
              </w:rPr>
              <w:t>Version</w:t>
            </w:r>
          </w:p>
        </w:tc>
        <w:tc>
          <w:tcPr>
            <w:tcW w:type="dxa" w:w="3969"/>
          </w:tcPr>
          <w:p>
            <w:r>
              <w:t>1.0</w:t>
            </w:r>
          </w:p>
        </w:tc>
      </w:tr>
      <w:tr>
        <w:tc>
          <w:tcPr>
            <w:tcW w:type="dxa" w:w="3969"/>
            <w:shd w:val="clear" w:color="auto" w:fill="E7EAF1"/>
          </w:tcPr>
          <w:p>
            <w:r>
              <w:rPr>
                <w:b/>
              </w:rPr>
              <w:t>Date d'émission</w:t>
            </w:r>
          </w:p>
        </w:tc>
        <w:tc>
          <w:tcPr>
            <w:tcW w:type="dxa" w:w="3969"/>
          </w:tcPr>
          <w:p>
            <w:r>
              <w:t>—</w:t>
            </w:r>
          </w:p>
        </w:tc>
      </w:tr>
      <w:tr>
        <w:tc>
          <w:tcPr>
            <w:tcW w:type="dxa" w:w="3969"/>
            <w:shd w:val="clear" w:color="auto" w:fill="E7EAF1"/>
          </w:tcPr>
          <w:p>
            <w:r>
              <w:rPr>
                <w:b/>
              </w:rPr>
              <w:t>Approuvé par</w:t>
            </w:r>
          </w:p>
        </w:tc>
        <w:tc>
          <w:tcPr>
            <w:tcW w:type="dxa" w:w="3969"/>
          </w:tcPr>
          <w:p>
            <w:r>
              <w:t>Direction Générale / RSSI</w:t>
            </w:r>
          </w:p>
        </w:tc>
      </w:tr>
      <w:tr>
        <w:tc>
          <w:tcPr>
            <w:tcW w:type="dxa" w:w="3969"/>
            <w:shd w:val="clear" w:color="auto" w:fill="E7EAF1"/>
          </w:tcPr>
          <w:p>
            <w:r>
              <w:rPr>
                <w:b/>
              </w:rPr>
              <w:t>Classification</w:t>
            </w:r>
          </w:p>
        </w:tc>
        <w:tc>
          <w:tcPr>
            <w:tcW w:type="dxa" w:w="3969"/>
          </w:tcPr>
          <w:p>
            <w:r>
              <w:t>Interne</w:t>
            </w:r>
          </w:p>
        </w:tc>
      </w:tr>
    </w:tbl>
    <w:p>
      <w:r>
        <w:br w:type="page"/>
      </w:r>
    </w:p>
    <w:p>
      <w:pPr>
        <w:spacing w:before="360" w:after="160"/>
        <w:pBdr>
          <w:bottom w:val="single" w:sz="8" w:space="1" w:color="1F4E79"/>
        </w:pBdr>
      </w:pPr>
      <w:r>
        <w:rPr>
          <w:b/>
          <w:color w:val="0B2545"/>
          <w:sz w:val="36"/>
        </w:rPr>
        <w:t>Sommaire</w:t>
      </w:r>
    </w:p>
    <w:p>
      <w:pPr>
        <w:spacing w:after="60"/>
      </w:pPr>
      <w:r>
        <w:rPr>
          <w:sz w:val="22"/>
        </w:rPr>
        <w:t>1. Objet et portée</w:t>
      </w:r>
    </w:p>
    <w:p>
      <w:pPr>
        <w:spacing w:after="60"/>
      </w:pPr>
      <w:r>
        <w:rPr>
          <w:sz w:val="22"/>
        </w:rPr>
        <w:t>2. Cadre de référence et politique</w:t>
      </w:r>
    </w:p>
    <w:p>
      <w:pPr>
        <w:spacing w:after="60"/>
      </w:pPr>
      <w:r>
        <w:rPr>
          <w:sz w:val="22"/>
        </w:rPr>
        <w:t>3. Organisation de gestion de crise</w:t>
      </w:r>
    </w:p>
    <w:p>
      <w:pPr>
        <w:spacing w:after="60"/>
      </w:pPr>
      <w:r>
        <w:rPr>
          <w:sz w:val="22"/>
        </w:rPr>
        <w:t>4. Synthèse du BIA</w:t>
      </w:r>
    </w:p>
    <w:p>
      <w:pPr>
        <w:spacing w:after="60"/>
      </w:pPr>
      <w:r>
        <w:rPr>
          <w:sz w:val="22"/>
        </w:rPr>
        <w:t>5. Scénarios de crise retenus</w:t>
      </w:r>
    </w:p>
    <w:p>
      <w:pPr>
        <w:spacing w:after="60"/>
      </w:pPr>
      <w:r>
        <w:rPr>
          <w:sz w:val="22"/>
        </w:rPr>
        <w:t>6. Stratégies de continuité</w:t>
      </w:r>
    </w:p>
    <w:p>
      <w:pPr>
        <w:spacing w:after="60"/>
      </w:pPr>
      <w:r>
        <w:rPr>
          <w:sz w:val="22"/>
        </w:rPr>
        <w:t>7. Procédures de bascule</w:t>
      </w:r>
    </w:p>
    <w:p>
      <w:pPr>
        <w:spacing w:after="60"/>
      </w:pPr>
      <w:r>
        <w:rPr>
          <w:sz w:val="22"/>
        </w:rPr>
        <w:t>8. Plan de communication de crise</w:t>
      </w:r>
    </w:p>
    <w:p>
      <w:pPr>
        <w:spacing w:after="60"/>
      </w:pPr>
      <w:r>
        <w:rPr>
          <w:sz w:val="22"/>
        </w:rPr>
        <w:t>9. Plan de retour à la normale</w:t>
      </w:r>
    </w:p>
    <w:p>
      <w:pPr>
        <w:spacing w:after="60"/>
      </w:pPr>
      <w:r>
        <w:rPr>
          <w:sz w:val="22"/>
        </w:rPr>
        <w:t>10. Plan de test et exercices</w:t>
      </w:r>
    </w:p>
    <w:p>
      <w:pPr>
        <w:spacing w:after="60"/>
      </w:pPr>
      <w:r>
        <w:rPr>
          <w:sz w:val="22"/>
        </w:rPr>
        <w:t>11. Maintien en condition opérationnelle</w:t>
      </w:r>
    </w:p>
    <w:p>
      <w:pPr>
        <w:spacing w:after="60"/>
      </w:pPr>
      <w:r>
        <w:rPr>
          <w:sz w:val="22"/>
        </w:rPr>
        <w:t>12. Annexes</w:t>
      </w:r>
    </w:p>
    <w:p>
      <w:r>
        <w:br w:type="page"/>
      </w:r>
    </w:p>
    <w:p>
      <w:pPr>
        <w:spacing w:before="360" w:after="160"/>
        <w:pBdr>
          <w:bottom w:val="single" w:sz="8" w:space="1" w:color="1F4E79"/>
        </w:pBdr>
      </w:pPr>
      <w:r>
        <w:rPr>
          <w:b/>
          <w:color w:val="0B2545"/>
          <w:sz w:val="36"/>
        </w:rPr>
        <w:t>1. Objet et portée</w:t>
      </w:r>
    </w:p>
    <w:p>
      <w:pPr>
        <w:spacing w:line="312" w:lineRule="auto"/>
        <w:jc w:val="both"/>
      </w:pPr>
      <w:r>
        <w:t>Le présent Plan de Continuité d'Activité (PCA) a pour objet d'assurer la poursuite des activités essentielles de l'organisation en cas de sinistre majeur (perte de site, perte du SI, indisponibilité massive du personnel, atteinte cyber majeure). Il est conforme aux normes ISO 22301:2019 « Systèmes de management de la continuité d'activité » et ISO/IEC 27001:2022 (contrôles A.5.29 et A.5.30).</w:t>
      </w:r>
    </w:p>
    <w:p>
      <w:pPr>
        <w:spacing w:line="312" w:lineRule="auto"/>
        <w:jc w:val="both"/>
      </w:pPr>
      <w:r>
        <w:t>Le PCA couvre l'ensemble des sites de l'organisation et des activités classées P1 et P2 dans le Business Impact Analysis (BIA). Les activités P3 et P4 font l'objet d'un Plan de Reprise d'Activité (PRA) simplifié.</w:t>
      </w:r>
    </w:p>
    <w:p>
      <w:pPr>
        <w:spacing w:before="360" w:after="160"/>
        <w:pBdr>
          <w:bottom w:val="single" w:sz="8" w:space="1" w:color="1F4E79"/>
        </w:pBdr>
      </w:pPr>
      <w:r>
        <w:rPr>
          <w:b/>
          <w:color w:val="0B2545"/>
          <w:sz w:val="36"/>
        </w:rPr>
        <w:t>2. Cadre de référence et politique</w:t>
      </w:r>
    </w:p>
    <w:p>
      <w:pPr>
        <w:pStyle w:val="ListBullet"/>
        <w:spacing w:after="40"/>
      </w:pPr>
      <w:r>
        <w:t>ISO 22301:2019 — Sécurité et résilience — Systèmes de management de la continuité d'activité.</w:t>
      </w:r>
    </w:p>
    <w:p>
      <w:pPr>
        <w:pStyle w:val="ListBullet"/>
        <w:spacing w:after="40"/>
      </w:pPr>
      <w:r>
        <w:t>ISO/IEC 27001:2022 — A.5.29 « Sécurité durant une perturbation » et A.5.30 « Préparation TIC ».</w:t>
      </w:r>
    </w:p>
    <w:p>
      <w:pPr>
        <w:pStyle w:val="ListBullet"/>
        <w:spacing w:after="40"/>
      </w:pPr>
      <w:r>
        <w:t>ISO 22313:2020 — Lignes directrices.</w:t>
      </w:r>
    </w:p>
    <w:p>
      <w:pPr>
        <w:pStyle w:val="ListBullet"/>
        <w:spacing w:after="40"/>
      </w:pPr>
      <w:r>
        <w:t>ANSSI — Guide PCA (2013) et complément 2020.</w:t>
      </w:r>
    </w:p>
    <w:p>
      <w:pPr>
        <w:pStyle w:val="ListBullet"/>
        <w:spacing w:after="40"/>
      </w:pPr>
      <w:r>
        <w:t>Politique de continuité — référencée DOC-PCA-POL-01, signée par la Direction Générale, révisée annuellement.</w:t>
      </w:r>
    </w:p>
    <w:p>
      <w:pPr>
        <w:spacing w:before="360" w:after="160"/>
        <w:pBdr>
          <w:bottom w:val="single" w:sz="8" w:space="1" w:color="1F4E79"/>
        </w:pBdr>
      </w:pPr>
      <w:r>
        <w:rPr>
          <w:b/>
          <w:color w:val="0B2545"/>
          <w:sz w:val="36"/>
        </w:rPr>
        <w:t>3. Organisation de gestion de crise</w:t>
      </w:r>
    </w:p>
    <w:p>
      <w:pPr>
        <w:spacing w:before="240" w:after="80"/>
      </w:pPr>
      <w:r>
        <w:rPr>
          <w:b/>
          <w:color w:val="1F4E79"/>
          <w:sz w:val="26"/>
        </w:rPr>
        <w:t>3.1 Cellule de Gestion de Crise (CGC)</w:t>
      </w:r>
    </w:p>
    <w:tbl>
      <w:tblPr>
        <w:tblStyle w:val="LightGrid-Accent1"/>
        <w:tblW w:type="auto" w:w="0"/>
        <w:jc w:val="center"/>
        <w:tblLook w:firstColumn="1" w:firstRow="1" w:lastColumn="0" w:lastRow="0" w:noHBand="0" w:noVBand="1" w:val="04A0"/>
      </w:tblPr>
      <w:tblGrid>
        <w:gridCol w:w="2436"/>
        <w:gridCol w:w="2436"/>
        <w:gridCol w:w="2436"/>
        <w:gridCol w:w="2436"/>
      </w:tblGrid>
      <w:tr>
        <w:tc>
          <w:tcPr>
            <w:tcW w:type="dxa" w:w="2436"/>
            <w:shd w:val="clear" w:color="auto" w:fill="1F4E79"/>
            <w:vAlign w:val="center"/>
          </w:tcPr>
          <w:p>
            <w:pPr>
              <w:jc w:val="center"/>
            </w:pPr>
            <w:r>
              <w:rPr>
                <w:b/>
                <w:color w:val="FFFFFF"/>
                <w:sz w:val="20"/>
              </w:rPr>
              <w:t>Rôle</w:t>
            </w:r>
          </w:p>
        </w:tc>
        <w:tc>
          <w:tcPr>
            <w:tcW w:type="dxa" w:w="2436"/>
            <w:shd w:val="clear" w:color="auto" w:fill="1F4E79"/>
            <w:vAlign w:val="center"/>
          </w:tcPr>
          <w:p>
            <w:pPr>
              <w:jc w:val="center"/>
            </w:pPr>
            <w:r>
              <w:rPr>
                <w:b/>
                <w:color w:val="FFFFFF"/>
                <w:sz w:val="20"/>
              </w:rPr>
              <w:t>Titulaire</w:t>
            </w:r>
          </w:p>
        </w:tc>
        <w:tc>
          <w:tcPr>
            <w:tcW w:type="dxa" w:w="2436"/>
            <w:shd w:val="clear" w:color="auto" w:fill="1F4E79"/>
            <w:vAlign w:val="center"/>
          </w:tcPr>
          <w:p>
            <w:pPr>
              <w:jc w:val="center"/>
            </w:pPr>
            <w:r>
              <w:rPr>
                <w:b/>
                <w:color w:val="FFFFFF"/>
                <w:sz w:val="20"/>
              </w:rPr>
              <w:t>Suppléant</w:t>
            </w:r>
          </w:p>
        </w:tc>
        <w:tc>
          <w:tcPr>
            <w:tcW w:type="dxa" w:w="2436"/>
            <w:shd w:val="clear" w:color="auto" w:fill="1F4E79"/>
            <w:vAlign w:val="center"/>
          </w:tcPr>
          <w:p>
            <w:pPr>
              <w:jc w:val="center"/>
            </w:pPr>
            <w:r>
              <w:rPr>
                <w:b/>
                <w:color w:val="FFFFFF"/>
                <w:sz w:val="20"/>
              </w:rPr>
              <w:t>Responsabilités</w:t>
            </w:r>
          </w:p>
        </w:tc>
      </w:tr>
      <w:tr>
        <w:tc>
          <w:tcPr>
            <w:tcW w:type="dxa" w:w="2436"/>
            <w:vAlign w:val="center"/>
          </w:tcPr>
          <w:p>
            <w:r>
              <w:rPr>
                <w:sz w:val="20"/>
              </w:rPr>
              <w:t>Directeur de crise</w:t>
            </w:r>
          </w:p>
        </w:tc>
        <w:tc>
          <w:tcPr>
            <w:tcW w:type="dxa" w:w="2436"/>
            <w:vAlign w:val="center"/>
          </w:tcPr>
          <w:p>
            <w:r>
              <w:rPr>
                <w:sz w:val="20"/>
              </w:rPr>
              <w:t>DG</w:t>
            </w:r>
          </w:p>
        </w:tc>
        <w:tc>
          <w:tcPr>
            <w:tcW w:type="dxa" w:w="2436"/>
            <w:vAlign w:val="center"/>
          </w:tcPr>
          <w:p>
            <w:r>
              <w:rPr>
                <w:sz w:val="20"/>
              </w:rPr>
              <w:t>DGA</w:t>
            </w:r>
          </w:p>
        </w:tc>
        <w:tc>
          <w:tcPr>
            <w:tcW w:type="dxa" w:w="2436"/>
            <w:vAlign w:val="center"/>
          </w:tcPr>
          <w:p>
            <w:r>
              <w:rPr>
                <w:sz w:val="20"/>
              </w:rPr>
              <w:t>Décisions stratégiques, communication externe officielle</w:t>
            </w:r>
          </w:p>
        </w:tc>
      </w:tr>
      <w:tr>
        <w:tc>
          <w:tcPr>
            <w:tcW w:type="dxa" w:w="2436"/>
            <w:vAlign w:val="center"/>
          </w:tcPr>
          <w:p>
            <w:r>
              <w:rPr>
                <w:sz w:val="20"/>
              </w:rPr>
              <w:t>Coordinateur crise</w:t>
            </w:r>
          </w:p>
        </w:tc>
        <w:tc>
          <w:tcPr>
            <w:tcW w:type="dxa" w:w="2436"/>
            <w:vAlign w:val="center"/>
          </w:tcPr>
          <w:p>
            <w:r>
              <w:rPr>
                <w:sz w:val="20"/>
              </w:rPr>
              <w:t>RSSI</w:t>
            </w:r>
          </w:p>
        </w:tc>
        <w:tc>
          <w:tcPr>
            <w:tcW w:type="dxa" w:w="2436"/>
            <w:vAlign w:val="center"/>
          </w:tcPr>
          <w:p>
            <w:r>
              <w:rPr>
                <w:sz w:val="20"/>
              </w:rPr>
              <w:t>Resp. SMSI</w:t>
            </w:r>
          </w:p>
        </w:tc>
        <w:tc>
          <w:tcPr>
            <w:tcW w:type="dxa" w:w="2436"/>
            <w:vAlign w:val="center"/>
          </w:tcPr>
          <w:p>
            <w:r>
              <w:rPr>
                <w:sz w:val="20"/>
              </w:rPr>
              <w:t>Animation cellule, suivi actions</w:t>
            </w:r>
          </w:p>
        </w:tc>
      </w:tr>
      <w:tr>
        <w:tc>
          <w:tcPr>
            <w:tcW w:type="dxa" w:w="2436"/>
            <w:vAlign w:val="center"/>
          </w:tcPr>
          <w:p>
            <w:r>
              <w:rPr>
                <w:sz w:val="20"/>
              </w:rPr>
              <w:t>Cellule technique IT</w:t>
            </w:r>
          </w:p>
        </w:tc>
        <w:tc>
          <w:tcPr>
            <w:tcW w:type="dxa" w:w="2436"/>
            <w:vAlign w:val="center"/>
          </w:tcPr>
          <w:p>
            <w:r>
              <w:rPr>
                <w:sz w:val="20"/>
              </w:rPr>
              <w:t>DSI</w:t>
            </w:r>
          </w:p>
        </w:tc>
        <w:tc>
          <w:tcPr>
            <w:tcW w:type="dxa" w:w="2436"/>
            <w:vAlign w:val="center"/>
          </w:tcPr>
          <w:p>
            <w:r>
              <w:rPr>
                <w:sz w:val="20"/>
              </w:rPr>
              <w:t>Architecte</w:t>
            </w:r>
          </w:p>
        </w:tc>
        <w:tc>
          <w:tcPr>
            <w:tcW w:type="dxa" w:w="2436"/>
            <w:vAlign w:val="center"/>
          </w:tcPr>
          <w:p>
            <w:r>
              <w:rPr>
                <w:sz w:val="20"/>
              </w:rPr>
              <w:t>Bascule technique, restauration</w:t>
            </w:r>
          </w:p>
        </w:tc>
      </w:tr>
      <w:tr>
        <w:tc>
          <w:tcPr>
            <w:tcW w:type="dxa" w:w="2436"/>
            <w:vAlign w:val="center"/>
          </w:tcPr>
          <w:p>
            <w:r>
              <w:rPr>
                <w:sz w:val="20"/>
              </w:rPr>
              <w:t>Cellule métier</w:t>
            </w:r>
          </w:p>
        </w:tc>
        <w:tc>
          <w:tcPr>
            <w:tcW w:type="dxa" w:w="2436"/>
            <w:vAlign w:val="center"/>
          </w:tcPr>
          <w:p>
            <w:r>
              <w:rPr>
                <w:sz w:val="20"/>
              </w:rPr>
              <w:t>DG métier impacté</w:t>
            </w:r>
          </w:p>
        </w:tc>
        <w:tc>
          <w:tcPr>
            <w:tcW w:type="dxa" w:w="2436"/>
            <w:vAlign w:val="center"/>
          </w:tcPr>
          <w:p>
            <w:r>
              <w:rPr>
                <w:sz w:val="20"/>
              </w:rPr>
              <w:t>—</w:t>
            </w:r>
          </w:p>
        </w:tc>
        <w:tc>
          <w:tcPr>
            <w:tcW w:type="dxa" w:w="2436"/>
            <w:vAlign w:val="center"/>
          </w:tcPr>
          <w:p>
            <w:r>
              <w:rPr>
                <w:sz w:val="20"/>
              </w:rPr>
              <w:t>Continuité activité, communication clients</w:t>
            </w:r>
          </w:p>
        </w:tc>
      </w:tr>
      <w:tr>
        <w:tc>
          <w:tcPr>
            <w:tcW w:type="dxa" w:w="2436"/>
            <w:vAlign w:val="center"/>
          </w:tcPr>
          <w:p>
            <w:r>
              <w:rPr>
                <w:sz w:val="20"/>
              </w:rPr>
              <w:t>Cellule communication</w:t>
            </w:r>
          </w:p>
        </w:tc>
        <w:tc>
          <w:tcPr>
            <w:tcW w:type="dxa" w:w="2436"/>
            <w:vAlign w:val="center"/>
          </w:tcPr>
          <w:p>
            <w:r>
              <w:rPr>
                <w:sz w:val="20"/>
              </w:rPr>
              <w:t>Dir. Comm</w:t>
            </w:r>
          </w:p>
        </w:tc>
        <w:tc>
          <w:tcPr>
            <w:tcW w:type="dxa" w:w="2436"/>
            <w:vAlign w:val="center"/>
          </w:tcPr>
          <w:p>
            <w:r>
              <w:rPr>
                <w:sz w:val="20"/>
              </w:rPr>
              <w:t>—</w:t>
            </w:r>
          </w:p>
        </w:tc>
        <w:tc>
          <w:tcPr>
            <w:tcW w:type="dxa" w:w="2436"/>
            <w:vAlign w:val="center"/>
          </w:tcPr>
          <w:p>
            <w:r>
              <w:rPr>
                <w:sz w:val="20"/>
              </w:rPr>
              <w:t>Communication interne et externe, presse</w:t>
            </w:r>
          </w:p>
        </w:tc>
      </w:tr>
      <w:tr>
        <w:tc>
          <w:tcPr>
            <w:tcW w:type="dxa" w:w="2436"/>
            <w:vAlign w:val="center"/>
          </w:tcPr>
          <w:p>
            <w:r>
              <w:rPr>
                <w:sz w:val="20"/>
              </w:rPr>
              <w:t>Cellule juridique</w:t>
            </w:r>
          </w:p>
        </w:tc>
        <w:tc>
          <w:tcPr>
            <w:tcW w:type="dxa" w:w="2436"/>
            <w:vAlign w:val="center"/>
          </w:tcPr>
          <w:p>
            <w:r>
              <w:rPr>
                <w:sz w:val="20"/>
              </w:rPr>
              <w:t>DAJ</w:t>
            </w:r>
          </w:p>
        </w:tc>
        <w:tc>
          <w:tcPr>
            <w:tcW w:type="dxa" w:w="2436"/>
            <w:vAlign w:val="center"/>
          </w:tcPr>
          <w:p>
            <w:r>
              <w:rPr>
                <w:sz w:val="20"/>
              </w:rPr>
              <w:t>—</w:t>
            </w:r>
          </w:p>
        </w:tc>
        <w:tc>
          <w:tcPr>
            <w:tcW w:type="dxa" w:w="2436"/>
            <w:vAlign w:val="center"/>
          </w:tcPr>
          <w:p>
            <w:r>
              <w:rPr>
                <w:sz w:val="20"/>
              </w:rPr>
              <w:t>Notifications réglementaires, dépôts plainte</w:t>
            </w:r>
          </w:p>
        </w:tc>
      </w:tr>
      <w:tr>
        <w:tc>
          <w:tcPr>
            <w:tcW w:type="dxa" w:w="2436"/>
            <w:vAlign w:val="center"/>
          </w:tcPr>
          <w:p>
            <w:r>
              <w:rPr>
                <w:sz w:val="20"/>
              </w:rPr>
              <w:t>Cellule RH</w:t>
            </w:r>
          </w:p>
        </w:tc>
        <w:tc>
          <w:tcPr>
            <w:tcW w:type="dxa" w:w="2436"/>
            <w:vAlign w:val="center"/>
          </w:tcPr>
          <w:p>
            <w:r>
              <w:rPr>
                <w:sz w:val="20"/>
              </w:rPr>
              <w:t>DRH</w:t>
            </w:r>
          </w:p>
        </w:tc>
        <w:tc>
          <w:tcPr>
            <w:tcW w:type="dxa" w:w="2436"/>
            <w:vAlign w:val="center"/>
          </w:tcPr>
          <w:p>
            <w:r>
              <w:rPr>
                <w:sz w:val="20"/>
              </w:rPr>
              <w:t>—</w:t>
            </w:r>
          </w:p>
        </w:tc>
        <w:tc>
          <w:tcPr>
            <w:tcW w:type="dxa" w:w="2436"/>
            <w:vAlign w:val="center"/>
          </w:tcPr>
          <w:p>
            <w:r>
              <w:rPr>
                <w:sz w:val="20"/>
              </w:rPr>
              <w:t>Soutien personnel, plan de relève</w:t>
            </w:r>
          </w:p>
        </w:tc>
      </w:tr>
      <w:tr>
        <w:tc>
          <w:tcPr>
            <w:tcW w:type="dxa" w:w="2436"/>
            <w:vAlign w:val="center"/>
          </w:tcPr>
          <w:p>
            <w:r>
              <w:rPr>
                <w:sz w:val="20"/>
              </w:rPr>
              <w:t>DPO</w:t>
            </w:r>
          </w:p>
        </w:tc>
        <w:tc>
          <w:tcPr>
            <w:tcW w:type="dxa" w:w="2436"/>
            <w:vAlign w:val="center"/>
          </w:tcPr>
          <w:p>
            <w:r>
              <w:rPr>
                <w:sz w:val="20"/>
              </w:rPr>
              <w:t>DPO</w:t>
            </w:r>
          </w:p>
        </w:tc>
        <w:tc>
          <w:tcPr>
            <w:tcW w:type="dxa" w:w="2436"/>
            <w:vAlign w:val="center"/>
          </w:tcPr>
          <w:p>
            <w:r>
              <w:rPr>
                <w:sz w:val="20"/>
              </w:rPr>
              <w:t>Juriste data</w:t>
            </w:r>
          </w:p>
        </w:tc>
        <w:tc>
          <w:tcPr>
            <w:tcW w:type="dxa" w:w="2436"/>
            <w:vAlign w:val="center"/>
          </w:tcPr>
          <w:p>
            <w:r>
              <w:rPr>
                <w:sz w:val="20"/>
              </w:rPr>
              <w:t>Notification CNIL, RGPD</w:t>
            </w:r>
          </w:p>
        </w:tc>
      </w:tr>
      <w:tr>
        <w:tc>
          <w:tcPr>
            <w:tcW w:type="dxa" w:w="2436"/>
            <w:vAlign w:val="center"/>
          </w:tcPr>
          <w:p>
            <w:r>
              <w:rPr>
                <w:sz w:val="20"/>
              </w:rPr>
              <w:t>Logistique</w:t>
            </w:r>
          </w:p>
        </w:tc>
        <w:tc>
          <w:tcPr>
            <w:tcW w:type="dxa" w:w="2436"/>
            <w:vAlign w:val="center"/>
          </w:tcPr>
          <w:p>
            <w:r>
              <w:rPr>
                <w:sz w:val="20"/>
              </w:rPr>
              <w:t>Resp. moyens</w:t>
            </w:r>
          </w:p>
        </w:tc>
        <w:tc>
          <w:tcPr>
            <w:tcW w:type="dxa" w:w="2436"/>
            <w:vAlign w:val="center"/>
          </w:tcPr>
          <w:p>
            <w:r>
              <w:rPr>
                <w:sz w:val="20"/>
              </w:rPr>
              <w:t>—</w:t>
            </w:r>
          </w:p>
        </w:tc>
        <w:tc>
          <w:tcPr>
            <w:tcW w:type="dxa" w:w="2436"/>
            <w:vAlign w:val="center"/>
          </w:tcPr>
          <w:p>
            <w:r>
              <w:rPr>
                <w:sz w:val="20"/>
              </w:rPr>
              <w:t>Locaux de repli, équipements, restauration</w:t>
            </w:r>
          </w:p>
        </w:tc>
      </w:tr>
    </w:tbl>
    <w:p>
      <w:pPr>
        <w:spacing w:before="240" w:after="80"/>
      </w:pPr>
      <w:r>
        <w:rPr>
          <w:b/>
          <w:color w:val="1F4E79"/>
          <w:sz w:val="26"/>
        </w:rPr>
        <w:t>3.2 Salle de crise</w:t>
      </w:r>
    </w:p>
    <w:p>
      <w:pPr>
        <w:spacing w:line="312" w:lineRule="auto"/>
        <w:jc w:val="both"/>
      </w:pPr>
      <w:r>
        <w:t>Une salle de crise principale est aménagée au siège (salle XYZ) avec équipements dédiés (téléphones autonomes, accès Internet secours, ordinateurs préchargés, tableaux blancs, documentation papier). Une salle de crise de secours est disponible sur le site DR de Strasbourg.</w:t>
      </w:r>
    </w:p>
    <w:p>
      <w:pPr>
        <w:spacing w:before="240" w:after="80"/>
      </w:pPr>
      <w:r>
        <w:rPr>
          <w:b/>
          <w:color w:val="1F4E79"/>
          <w:sz w:val="26"/>
        </w:rPr>
        <w:t>3.3 Critères d'activation</w:t>
      </w:r>
    </w:p>
    <w:p>
      <w:pPr>
        <w:pStyle w:val="ListBullet"/>
        <w:spacing w:after="40"/>
      </w:pPr>
      <w:r>
        <w:t>Indisponibilité d'un site majeur &gt; 4 heures.</w:t>
      </w:r>
    </w:p>
    <w:p>
      <w:pPr>
        <w:pStyle w:val="ListBullet"/>
        <w:spacing w:after="40"/>
      </w:pPr>
      <w:r>
        <w:t>Indisponibilité d'un service métier P1 &gt; 2 heures.</w:t>
      </w:r>
    </w:p>
    <w:p>
      <w:pPr>
        <w:pStyle w:val="ListBullet"/>
        <w:spacing w:after="40"/>
      </w:pPr>
      <w:r>
        <w:t>Cyberattaque qualifiée G4-G5.</w:t>
      </w:r>
    </w:p>
    <w:p>
      <w:pPr>
        <w:pStyle w:val="ListBullet"/>
        <w:spacing w:after="40"/>
      </w:pPr>
      <w:r>
        <w:t>Crise sanitaire majeure (taux d'absentéisme &gt; 25%).</w:t>
      </w:r>
    </w:p>
    <w:p>
      <w:pPr>
        <w:pStyle w:val="ListBullet"/>
        <w:spacing w:after="40"/>
      </w:pPr>
      <w:r>
        <w:t>Catastrophe naturelle, incendie, sabotage.</w:t>
      </w:r>
    </w:p>
    <w:p>
      <w:pPr>
        <w:spacing w:before="360" w:after="160"/>
        <w:pBdr>
          <w:bottom w:val="single" w:sz="8" w:space="1" w:color="1F4E79"/>
        </w:pBdr>
      </w:pPr>
      <w:r>
        <w:rPr>
          <w:b/>
          <w:color w:val="0B2545"/>
          <w:sz w:val="36"/>
        </w:rPr>
        <w:t>4. Synthèse du BIA</w:t>
      </w:r>
    </w:p>
    <w:p>
      <w:pPr>
        <w:spacing w:line="312" w:lineRule="auto"/>
        <w:jc w:val="both"/>
      </w:pPr>
      <w:r>
        <w:t>Le BIA réalisé en [date] a identifié [X] processus métier dont [Y] classés P1 (RTO ≤ 4h) et [Z] classés P2 (RTO ≤ 24h). Voir document détaillé « BIA — Business Impact Analysis ».</w:t>
      </w:r>
    </w:p>
    <w:tbl>
      <w:tblPr>
        <w:tblStyle w:val="LightGrid-Accent1"/>
        <w:tblW w:type="auto" w:w="0"/>
        <w:jc w:val="center"/>
        <w:tblLook w:firstColumn="1" w:firstRow="1" w:lastColumn="0" w:lastRow="0" w:noHBand="0" w:noVBand="1" w:val="04A0"/>
      </w:tblPr>
      <w:tblGrid>
        <w:gridCol w:w="1949"/>
        <w:gridCol w:w="1949"/>
        <w:gridCol w:w="1949"/>
        <w:gridCol w:w="1949"/>
        <w:gridCol w:w="1949"/>
      </w:tblGrid>
      <w:tr>
        <w:tc>
          <w:tcPr>
            <w:tcW w:type="dxa" w:w="1949"/>
            <w:shd w:val="clear" w:color="auto" w:fill="1F4E79"/>
            <w:vAlign w:val="center"/>
          </w:tcPr>
          <w:p>
            <w:pPr>
              <w:jc w:val="center"/>
            </w:pPr>
            <w:r>
              <w:rPr>
                <w:b/>
                <w:color w:val="FFFFFF"/>
                <w:sz w:val="20"/>
              </w:rPr>
              <w:t>Processus</w:t>
            </w:r>
          </w:p>
        </w:tc>
        <w:tc>
          <w:tcPr>
            <w:tcW w:type="dxa" w:w="1949"/>
            <w:shd w:val="clear" w:color="auto" w:fill="1F4E79"/>
            <w:vAlign w:val="center"/>
          </w:tcPr>
          <w:p>
            <w:pPr>
              <w:jc w:val="center"/>
            </w:pPr>
            <w:r>
              <w:rPr>
                <w:b/>
                <w:color w:val="FFFFFF"/>
                <w:sz w:val="20"/>
              </w:rPr>
              <w:t>Priorité</w:t>
            </w:r>
          </w:p>
        </w:tc>
        <w:tc>
          <w:tcPr>
            <w:tcW w:type="dxa" w:w="1949"/>
            <w:shd w:val="clear" w:color="auto" w:fill="1F4E79"/>
            <w:vAlign w:val="center"/>
          </w:tcPr>
          <w:p>
            <w:pPr>
              <w:jc w:val="center"/>
            </w:pPr>
            <w:r>
              <w:rPr>
                <w:b/>
                <w:color w:val="FFFFFF"/>
                <w:sz w:val="20"/>
              </w:rPr>
              <w:t>RTO</w:t>
            </w:r>
          </w:p>
        </w:tc>
        <w:tc>
          <w:tcPr>
            <w:tcW w:type="dxa" w:w="1949"/>
            <w:shd w:val="clear" w:color="auto" w:fill="1F4E79"/>
            <w:vAlign w:val="center"/>
          </w:tcPr>
          <w:p>
            <w:pPr>
              <w:jc w:val="center"/>
            </w:pPr>
            <w:r>
              <w:rPr>
                <w:b/>
                <w:color w:val="FFFFFF"/>
                <w:sz w:val="20"/>
              </w:rPr>
              <w:t>RPO</w:t>
            </w:r>
          </w:p>
        </w:tc>
        <w:tc>
          <w:tcPr>
            <w:tcW w:type="dxa" w:w="1949"/>
            <w:shd w:val="clear" w:color="auto" w:fill="1F4E79"/>
            <w:vAlign w:val="center"/>
          </w:tcPr>
          <w:p>
            <w:pPr>
              <w:jc w:val="center"/>
            </w:pPr>
            <w:r>
              <w:rPr>
                <w:b/>
                <w:color w:val="FFFFFF"/>
                <w:sz w:val="20"/>
              </w:rPr>
              <w:t>MAO</w:t>
            </w:r>
          </w:p>
        </w:tc>
      </w:tr>
      <w:tr>
        <w:tc>
          <w:tcPr>
            <w:tcW w:type="dxa" w:w="1949"/>
            <w:vAlign w:val="center"/>
          </w:tcPr>
          <w:p>
            <w:r>
              <w:rPr>
                <w:sz w:val="20"/>
              </w:rPr>
              <w:t>Facturation client</w:t>
            </w:r>
          </w:p>
        </w:tc>
        <w:tc>
          <w:tcPr>
            <w:tcW w:type="dxa" w:w="1949"/>
            <w:vAlign w:val="center"/>
          </w:tcPr>
          <w:p>
            <w:r>
              <w:rPr>
                <w:sz w:val="20"/>
              </w:rPr>
              <w:t>P1</w:t>
            </w:r>
          </w:p>
        </w:tc>
        <w:tc>
          <w:tcPr>
            <w:tcW w:type="dxa" w:w="1949"/>
            <w:vAlign w:val="center"/>
          </w:tcPr>
          <w:p>
            <w:r>
              <w:rPr>
                <w:sz w:val="20"/>
              </w:rPr>
              <w:t>4h</w:t>
            </w:r>
          </w:p>
        </w:tc>
        <w:tc>
          <w:tcPr>
            <w:tcW w:type="dxa" w:w="1949"/>
            <w:vAlign w:val="center"/>
          </w:tcPr>
          <w:p>
            <w:r>
              <w:rPr>
                <w:sz w:val="20"/>
              </w:rPr>
              <w:t>1h</w:t>
            </w:r>
          </w:p>
        </w:tc>
        <w:tc>
          <w:tcPr>
            <w:tcW w:type="dxa" w:w="1949"/>
            <w:vAlign w:val="center"/>
          </w:tcPr>
          <w:p>
            <w:r>
              <w:rPr>
                <w:sz w:val="20"/>
              </w:rPr>
              <w:t>80%</w:t>
            </w:r>
          </w:p>
        </w:tc>
      </w:tr>
      <w:tr>
        <w:tc>
          <w:tcPr>
            <w:tcW w:type="dxa" w:w="1949"/>
            <w:vAlign w:val="center"/>
          </w:tcPr>
          <w:p>
            <w:r>
              <w:rPr>
                <w:sz w:val="20"/>
              </w:rPr>
              <w:t>E-commerce B2B</w:t>
            </w:r>
          </w:p>
        </w:tc>
        <w:tc>
          <w:tcPr>
            <w:tcW w:type="dxa" w:w="1949"/>
            <w:vAlign w:val="center"/>
          </w:tcPr>
          <w:p>
            <w:r>
              <w:rPr>
                <w:sz w:val="20"/>
              </w:rPr>
              <w:t>P1</w:t>
            </w:r>
          </w:p>
        </w:tc>
        <w:tc>
          <w:tcPr>
            <w:tcW w:type="dxa" w:w="1949"/>
            <w:vAlign w:val="center"/>
          </w:tcPr>
          <w:p>
            <w:r>
              <w:rPr>
                <w:sz w:val="20"/>
              </w:rPr>
              <w:t>2h</w:t>
            </w:r>
          </w:p>
        </w:tc>
        <w:tc>
          <w:tcPr>
            <w:tcW w:type="dxa" w:w="1949"/>
            <w:vAlign w:val="center"/>
          </w:tcPr>
          <w:p>
            <w:r>
              <w:rPr>
                <w:sz w:val="20"/>
              </w:rPr>
              <w:t>0h</w:t>
            </w:r>
          </w:p>
        </w:tc>
        <w:tc>
          <w:tcPr>
            <w:tcW w:type="dxa" w:w="1949"/>
            <w:vAlign w:val="center"/>
          </w:tcPr>
          <w:p>
            <w:r>
              <w:rPr>
                <w:sz w:val="20"/>
              </w:rPr>
              <w:t>95%</w:t>
            </w:r>
          </w:p>
        </w:tc>
      </w:tr>
      <w:tr>
        <w:tc>
          <w:tcPr>
            <w:tcW w:type="dxa" w:w="1949"/>
            <w:vAlign w:val="center"/>
          </w:tcPr>
          <w:p>
            <w:r>
              <w:rPr>
                <w:sz w:val="20"/>
              </w:rPr>
              <w:t>Support client</w:t>
            </w:r>
          </w:p>
        </w:tc>
        <w:tc>
          <w:tcPr>
            <w:tcW w:type="dxa" w:w="1949"/>
            <w:vAlign w:val="center"/>
          </w:tcPr>
          <w:p>
            <w:r>
              <w:rPr>
                <w:sz w:val="20"/>
              </w:rPr>
              <w:t>P2</w:t>
            </w:r>
          </w:p>
        </w:tc>
        <w:tc>
          <w:tcPr>
            <w:tcW w:type="dxa" w:w="1949"/>
            <w:vAlign w:val="center"/>
          </w:tcPr>
          <w:p>
            <w:r>
              <w:rPr>
                <w:sz w:val="20"/>
              </w:rPr>
              <w:t>4h</w:t>
            </w:r>
          </w:p>
        </w:tc>
        <w:tc>
          <w:tcPr>
            <w:tcW w:type="dxa" w:w="1949"/>
            <w:vAlign w:val="center"/>
          </w:tcPr>
          <w:p>
            <w:r>
              <w:rPr>
                <w:sz w:val="20"/>
              </w:rPr>
              <w:t>4h</w:t>
            </w:r>
          </w:p>
        </w:tc>
        <w:tc>
          <w:tcPr>
            <w:tcW w:type="dxa" w:w="1949"/>
            <w:vAlign w:val="center"/>
          </w:tcPr>
          <w:p>
            <w:r>
              <w:rPr>
                <w:sz w:val="20"/>
              </w:rPr>
              <w:t>70%</w:t>
            </w:r>
          </w:p>
        </w:tc>
      </w:tr>
      <w:tr>
        <w:tc>
          <w:tcPr>
            <w:tcW w:type="dxa" w:w="1949"/>
            <w:vAlign w:val="center"/>
          </w:tcPr>
          <w:p>
            <w:r>
              <w:rPr>
                <w:sz w:val="20"/>
              </w:rPr>
              <w:t>Paie</w:t>
            </w:r>
          </w:p>
        </w:tc>
        <w:tc>
          <w:tcPr>
            <w:tcW w:type="dxa" w:w="1949"/>
            <w:vAlign w:val="center"/>
          </w:tcPr>
          <w:p>
            <w:r>
              <w:rPr>
                <w:sz w:val="20"/>
              </w:rPr>
              <w:t>P2</w:t>
            </w:r>
          </w:p>
        </w:tc>
        <w:tc>
          <w:tcPr>
            <w:tcW w:type="dxa" w:w="1949"/>
            <w:vAlign w:val="center"/>
          </w:tcPr>
          <w:p>
            <w:r>
              <w:rPr>
                <w:sz w:val="20"/>
              </w:rPr>
              <w:t>24h</w:t>
            </w:r>
          </w:p>
        </w:tc>
        <w:tc>
          <w:tcPr>
            <w:tcW w:type="dxa" w:w="1949"/>
            <w:vAlign w:val="center"/>
          </w:tcPr>
          <w:p>
            <w:r>
              <w:rPr>
                <w:sz w:val="20"/>
              </w:rPr>
              <w:t>24h</w:t>
            </w:r>
          </w:p>
        </w:tc>
        <w:tc>
          <w:tcPr>
            <w:tcW w:type="dxa" w:w="1949"/>
            <w:vAlign w:val="center"/>
          </w:tcPr>
          <w:p>
            <w:r>
              <w:rPr>
                <w:sz w:val="20"/>
              </w:rPr>
              <w:t>60%</w:t>
            </w:r>
          </w:p>
        </w:tc>
      </w:tr>
    </w:tbl>
    <w:p>
      <w:pPr>
        <w:spacing w:before="360" w:after="160"/>
        <w:pBdr>
          <w:bottom w:val="single" w:sz="8" w:space="1" w:color="1F4E79"/>
        </w:pBdr>
      </w:pPr>
      <w:r>
        <w:rPr>
          <w:b/>
          <w:color w:val="0B2545"/>
          <w:sz w:val="36"/>
        </w:rPr>
        <w:t>5. Scénarios de crise retenus</w:t>
      </w:r>
    </w:p>
    <w:p>
      <w:pPr>
        <w:spacing w:before="240" w:after="80"/>
      </w:pPr>
      <w:r>
        <w:rPr>
          <w:b/>
          <w:color w:val="1F4E79"/>
          <w:sz w:val="26"/>
        </w:rPr>
        <w:t>5.1 Scénario S1 — Perte du datacenter primaire</w:t>
      </w:r>
    </w:p>
    <w:p>
      <w:pPr>
        <w:spacing w:line="312" w:lineRule="auto"/>
        <w:jc w:val="both"/>
      </w:pPr>
      <w:r>
        <w:t>Incendie, inondation, sabotage rendant le DC1 indisponible &gt; 24h. Bascule complète vers DC2 (DR). RTO : 4h, RPO : 15 minutes (réplication synchrone).</w:t>
      </w:r>
    </w:p>
    <w:p>
      <w:pPr>
        <w:spacing w:before="240" w:after="80"/>
      </w:pPr>
      <w:r>
        <w:rPr>
          <w:b/>
          <w:color w:val="1F4E79"/>
          <w:sz w:val="26"/>
        </w:rPr>
        <w:t>5.2 Scénario S2 — Cyberattaque ransomware</w:t>
      </w:r>
    </w:p>
    <w:p>
      <w:pPr>
        <w:spacing w:line="312" w:lineRule="auto"/>
        <w:jc w:val="both"/>
      </w:pPr>
      <w:r>
        <w:t>Chiffrement massif des serveurs. Activation immédiate du PRA cyber : isolation totale, restauration depuis sauvegardes immuables (Veeam Hardened Repository), reconstruction progressive en environnement propre.</w:t>
      </w:r>
    </w:p>
    <w:p>
      <w:pPr>
        <w:spacing w:before="240" w:after="80"/>
      </w:pPr>
      <w:r>
        <w:rPr>
          <w:b/>
          <w:color w:val="1F4E79"/>
          <w:sz w:val="26"/>
        </w:rPr>
        <w:t>5.3 Scénario S3 — Perte du siège social</w:t>
      </w:r>
    </w:p>
    <w:p>
      <w:pPr>
        <w:spacing w:line="312" w:lineRule="auto"/>
        <w:jc w:val="both"/>
      </w:pPr>
      <w:r>
        <w:t>Sinistre majeur (incendie) rendant le siège indisponible &gt; 1 semaine. Bascule télétravail intégral + site de repli loué (contrat dormant prestataire).</w:t>
      </w:r>
    </w:p>
    <w:p>
      <w:pPr>
        <w:spacing w:before="240" w:after="80"/>
      </w:pPr>
      <w:r>
        <w:rPr>
          <w:b/>
          <w:color w:val="1F4E79"/>
          <w:sz w:val="26"/>
        </w:rPr>
        <w:t>5.4 Scénario S4 — Pandémie / absentéisme massif</w:t>
      </w:r>
    </w:p>
    <w:p>
      <w:pPr>
        <w:spacing w:line="312" w:lineRule="auto"/>
        <w:jc w:val="both"/>
      </w:pPr>
      <w:r>
        <w:t>Taux d'absentéisme &gt; 25% pendant &gt; 1 mois. Plan de continuité RH : télétravail généralisé, polyvalence des rôles, externalisation temporaire de fonctions support.</w:t>
      </w:r>
    </w:p>
    <w:p>
      <w:pPr>
        <w:spacing w:before="360" w:after="160"/>
        <w:pBdr>
          <w:bottom w:val="single" w:sz="8" w:space="1" w:color="1F4E79"/>
        </w:pBdr>
      </w:pPr>
      <w:r>
        <w:rPr>
          <w:b/>
          <w:color w:val="0B2545"/>
          <w:sz w:val="36"/>
        </w:rPr>
        <w:t>6. Stratégies de continuité</w:t>
      </w:r>
    </w:p>
    <w:p>
      <w:pPr>
        <w:pStyle w:val="ListBullet"/>
        <w:spacing w:after="40"/>
      </w:pPr>
      <w:r>
        <w:t>Redondance infrastructure : datacenters actifs-actifs ou actif-passif (DC1 Roubaix / DC2 Strasbourg).</w:t>
      </w:r>
    </w:p>
    <w:p>
      <w:pPr>
        <w:pStyle w:val="ListBullet"/>
        <w:spacing w:after="40"/>
      </w:pPr>
      <w:r>
        <w:t>Sauvegardes 3-2-1-1-0 : 3 copies, 2 supports, 1 hors site, 1 immuable, 0 erreur.</w:t>
      </w:r>
    </w:p>
    <w:p>
      <w:pPr>
        <w:pStyle w:val="ListBullet"/>
        <w:spacing w:after="40"/>
      </w:pPr>
      <w:r>
        <w:t>Sites de repli : siège secondaire négocié (50 postes prêts à l'emploi en 24h).</w:t>
      </w:r>
    </w:p>
    <w:p>
      <w:pPr>
        <w:pStyle w:val="ListBullet"/>
        <w:spacing w:after="40"/>
      </w:pPr>
      <w:r>
        <w:t>Télétravail généralisable : 100% des postes administratifs équipés VPN/ZTNA.</w:t>
      </w:r>
    </w:p>
    <w:p>
      <w:pPr>
        <w:pStyle w:val="ListBullet"/>
        <w:spacing w:after="40"/>
      </w:pPr>
      <w:r>
        <w:t>Contrats prestataires de secours : ESN, télécoms, énergie (clauses SLA continuité).</w:t>
      </w:r>
    </w:p>
    <w:p>
      <w:pPr>
        <w:spacing w:before="360" w:after="160"/>
        <w:pBdr>
          <w:bottom w:val="single" w:sz="8" w:space="1" w:color="1F4E79"/>
        </w:pBdr>
      </w:pPr>
      <w:r>
        <w:rPr>
          <w:b/>
          <w:color w:val="0B2545"/>
          <w:sz w:val="36"/>
        </w:rPr>
        <w:t>7. Procédures de bascule</w:t>
      </w:r>
    </w:p>
    <w:p>
      <w:pPr>
        <w:spacing w:line="312" w:lineRule="auto"/>
        <w:jc w:val="both"/>
      </w:pPr>
      <w:r>
        <w:t>Chaque scénario dispose d'une procédure de bascule détaillée, comportant :</w:t>
      </w:r>
    </w:p>
    <w:p>
      <w:pPr>
        <w:pStyle w:val="ListBullet"/>
        <w:spacing w:after="40"/>
      </w:pPr>
      <w:r>
        <w:t>Schéma technique avant/après bascule.</w:t>
      </w:r>
    </w:p>
    <w:p>
      <w:pPr>
        <w:pStyle w:val="ListBullet"/>
        <w:spacing w:after="40"/>
      </w:pPr>
      <w:r>
        <w:t>Checklist d'exécution étape par étape (J-1, J-0, J+1, J+7).</w:t>
      </w:r>
    </w:p>
    <w:p>
      <w:pPr>
        <w:pStyle w:val="ListBullet"/>
        <w:spacing w:after="40"/>
      </w:pPr>
      <w:r>
        <w:t>Rôles et acteurs nominatifs (matrice RACI).</w:t>
      </w:r>
    </w:p>
    <w:p>
      <w:pPr>
        <w:pStyle w:val="ListBullet"/>
        <w:spacing w:after="40"/>
      </w:pPr>
      <w:r>
        <w:t>Critères de validation de chaque étape (go/no-go).</w:t>
      </w:r>
    </w:p>
    <w:p>
      <w:pPr>
        <w:pStyle w:val="ListBullet"/>
        <w:spacing w:after="40"/>
      </w:pPr>
      <w:r>
        <w:t>Procédure de communication pendant la bascule.</w:t>
      </w:r>
    </w:p>
    <w:p>
      <w:pPr>
        <w:pStyle w:val="ListBullet"/>
        <w:spacing w:after="40"/>
      </w:pPr>
      <w:r>
        <w:t>Délais cibles (RTO/RPO par activité).</w:t>
      </w:r>
    </w:p>
    <w:p>
      <w:pPr>
        <w:spacing w:before="360" w:after="160"/>
        <w:pBdr>
          <w:bottom w:val="single" w:sz="8" w:space="1" w:color="1F4E79"/>
        </w:pBdr>
      </w:pPr>
      <w:r>
        <w:rPr>
          <w:b/>
          <w:color w:val="0B2545"/>
          <w:sz w:val="36"/>
        </w:rPr>
        <w:t>8. Plan de communication de crise</w:t>
      </w:r>
    </w:p>
    <w:p>
      <w:pPr>
        <w:spacing w:before="240" w:after="80"/>
      </w:pPr>
      <w:r>
        <w:rPr>
          <w:b/>
          <w:color w:val="1F4E79"/>
          <w:sz w:val="26"/>
        </w:rPr>
        <w:t>8.1 Communication interne</w:t>
      </w:r>
    </w:p>
    <w:p>
      <w:pPr>
        <w:pStyle w:val="ListBullet"/>
        <w:spacing w:after="40"/>
      </w:pPr>
      <w:r>
        <w:t>Activation CGC : SMS prioritaire + appel téléphonique nominatif.</w:t>
      </w:r>
    </w:p>
    <w:p>
      <w:pPr>
        <w:pStyle w:val="ListBullet"/>
        <w:spacing w:after="40"/>
      </w:pPr>
      <w:r>
        <w:t>Information collaborateurs : email + canal Teams dédié + numéro vert interne.</w:t>
      </w:r>
    </w:p>
    <w:p>
      <w:pPr>
        <w:pStyle w:val="ListBullet"/>
        <w:spacing w:after="40"/>
      </w:pPr>
      <w:r>
        <w:t>Cadence : point de situation toutes les 2h en phase aiguë.</w:t>
      </w:r>
    </w:p>
    <w:p>
      <w:pPr>
        <w:spacing w:before="240" w:after="80"/>
      </w:pPr>
      <w:r>
        <w:rPr>
          <w:b/>
          <w:color w:val="1F4E79"/>
          <w:sz w:val="26"/>
        </w:rPr>
        <w:t>8.2 Communication externe</w:t>
      </w:r>
    </w:p>
    <w:p>
      <w:pPr>
        <w:pStyle w:val="ListBullet"/>
        <w:spacing w:after="40"/>
      </w:pPr>
      <w:r>
        <w:t>Clients : lettre type + page statut publique + numéro vert client.</w:t>
      </w:r>
    </w:p>
    <w:p>
      <w:pPr>
        <w:pStyle w:val="ListBullet"/>
        <w:spacing w:after="40"/>
      </w:pPr>
      <w:r>
        <w:t>Partenaires/sous-traitants : email RSSI à liste pré-établie.</w:t>
      </w:r>
    </w:p>
    <w:p>
      <w:pPr>
        <w:pStyle w:val="ListBullet"/>
        <w:spacing w:after="40"/>
      </w:pPr>
      <w:r>
        <w:t>Autorités : CNIL (DPO sous 72h si données perso), ANSSI (RSSI sous 24h si OSE).</w:t>
      </w:r>
    </w:p>
    <w:p>
      <w:pPr>
        <w:pStyle w:val="ListBullet"/>
        <w:spacing w:after="40"/>
      </w:pPr>
      <w:r>
        <w:t>Presse : porte-parole unique (Dir. Comm) + éléments de langage validés DG.</w:t>
      </w:r>
    </w:p>
    <w:p>
      <w:pPr>
        <w:pStyle w:val="ListBullet"/>
        <w:spacing w:after="40"/>
      </w:pPr>
      <w:r>
        <w:t>Réseaux sociaux : compte de crise dédié, posts validés Dir. Comm.</w:t>
      </w:r>
    </w:p>
    <w:p>
      <w:pPr>
        <w:spacing w:before="360" w:after="160"/>
        <w:pBdr>
          <w:bottom w:val="single" w:sz="8" w:space="1" w:color="1F4E79"/>
        </w:pBdr>
      </w:pPr>
      <w:r>
        <w:rPr>
          <w:b/>
          <w:color w:val="0B2545"/>
          <w:sz w:val="36"/>
        </w:rPr>
        <w:t>9. Plan de retour à la normale</w:t>
      </w:r>
    </w:p>
    <w:p>
      <w:pPr>
        <w:pStyle w:val="ListNumber"/>
        <w:spacing w:after="40"/>
      </w:pPr>
      <w:r>
        <w:t>Validation technique de la disponibilité de l'environnement nominal.</w:t>
      </w:r>
    </w:p>
    <w:p>
      <w:pPr>
        <w:pStyle w:val="ListNumber"/>
        <w:spacing w:after="40"/>
      </w:pPr>
      <w:r>
        <w:t>Test de bascule retour sur un périmètre pilote.</w:t>
      </w:r>
    </w:p>
    <w:p>
      <w:pPr>
        <w:pStyle w:val="ListNumber"/>
        <w:spacing w:after="40"/>
      </w:pPr>
      <w:r>
        <w:t>Synchronisation des données (delta accumulé pendant la crise).</w:t>
      </w:r>
    </w:p>
    <w:p>
      <w:pPr>
        <w:pStyle w:val="ListNumber"/>
        <w:spacing w:after="40"/>
      </w:pPr>
      <w:r>
        <w:t>Bascule progressive par lots (activités P1 d'abord).</w:t>
      </w:r>
    </w:p>
    <w:p>
      <w:pPr>
        <w:pStyle w:val="ListNumber"/>
        <w:spacing w:after="40"/>
      </w:pPr>
      <w:r>
        <w:t>Communication de fin de crise aux parties prenantes.</w:t>
      </w:r>
    </w:p>
    <w:p>
      <w:pPr>
        <w:pStyle w:val="ListNumber"/>
        <w:spacing w:after="40"/>
      </w:pPr>
      <w:r>
        <w:t>RETEX sous 30 jours (analyse, leçons, plan d'amélioration).</w:t>
      </w:r>
    </w:p>
    <w:p>
      <w:pPr>
        <w:pStyle w:val="ListNumber"/>
        <w:spacing w:after="40"/>
      </w:pPr>
      <w:r>
        <w:t>Mise à jour du PCA en intégrant les leçons retenues.</w:t>
      </w:r>
    </w:p>
    <w:p>
      <w:pPr>
        <w:spacing w:before="360" w:after="160"/>
        <w:pBdr>
          <w:bottom w:val="single" w:sz="8" w:space="1" w:color="1F4E79"/>
        </w:pBdr>
      </w:pPr>
      <w:r>
        <w:rPr>
          <w:b/>
          <w:color w:val="0B2545"/>
          <w:sz w:val="36"/>
        </w:rPr>
        <w:t>10. Plan de test et exercices</w:t>
      </w:r>
    </w:p>
    <w:tbl>
      <w:tblPr>
        <w:tblStyle w:val="LightGrid-Accent1"/>
        <w:tblW w:type="auto" w:w="0"/>
        <w:jc w:val="center"/>
        <w:tblLook w:firstColumn="1" w:firstRow="1" w:lastColumn="0" w:lastRow="0" w:noHBand="0" w:noVBand="1" w:val="04A0"/>
      </w:tblPr>
      <w:tblGrid>
        <w:gridCol w:w="3249"/>
        <w:gridCol w:w="3249"/>
        <w:gridCol w:w="3249"/>
      </w:tblGrid>
      <w:tr>
        <w:tc>
          <w:tcPr>
            <w:tcW w:type="dxa" w:w="3249"/>
            <w:shd w:val="clear" w:color="auto" w:fill="1F4E79"/>
            <w:vAlign w:val="center"/>
          </w:tcPr>
          <w:p>
            <w:pPr>
              <w:jc w:val="center"/>
            </w:pPr>
            <w:r>
              <w:rPr>
                <w:b/>
                <w:color w:val="FFFFFF"/>
                <w:sz w:val="20"/>
              </w:rPr>
              <w:t>Type d'exercice</w:t>
            </w:r>
          </w:p>
        </w:tc>
        <w:tc>
          <w:tcPr>
            <w:tcW w:type="dxa" w:w="3249"/>
            <w:shd w:val="clear" w:color="auto" w:fill="1F4E79"/>
            <w:vAlign w:val="center"/>
          </w:tcPr>
          <w:p>
            <w:pPr>
              <w:jc w:val="center"/>
            </w:pPr>
            <w:r>
              <w:rPr>
                <w:b/>
                <w:color w:val="FFFFFF"/>
                <w:sz w:val="20"/>
              </w:rPr>
              <w:t>Fréquence</w:t>
            </w:r>
          </w:p>
        </w:tc>
        <w:tc>
          <w:tcPr>
            <w:tcW w:type="dxa" w:w="3249"/>
            <w:shd w:val="clear" w:color="auto" w:fill="1F4E79"/>
            <w:vAlign w:val="center"/>
          </w:tcPr>
          <w:p>
            <w:pPr>
              <w:jc w:val="center"/>
            </w:pPr>
            <w:r>
              <w:rPr>
                <w:b/>
                <w:color w:val="FFFFFF"/>
                <w:sz w:val="20"/>
              </w:rPr>
              <w:t>Périmètre</w:t>
            </w:r>
          </w:p>
        </w:tc>
      </w:tr>
      <w:tr>
        <w:tc>
          <w:tcPr>
            <w:tcW w:type="dxa" w:w="3249"/>
            <w:vAlign w:val="center"/>
          </w:tcPr>
          <w:p>
            <w:r>
              <w:rPr>
                <w:sz w:val="20"/>
              </w:rPr>
              <w:t>Test de restauration sauvegardes</w:t>
            </w:r>
          </w:p>
        </w:tc>
        <w:tc>
          <w:tcPr>
            <w:tcW w:type="dxa" w:w="3249"/>
            <w:vAlign w:val="center"/>
          </w:tcPr>
          <w:p>
            <w:r>
              <w:rPr>
                <w:sz w:val="20"/>
              </w:rPr>
              <w:t>Mensuelle</w:t>
            </w:r>
          </w:p>
        </w:tc>
        <w:tc>
          <w:tcPr>
            <w:tcW w:type="dxa" w:w="3249"/>
            <w:vAlign w:val="center"/>
          </w:tcPr>
          <w:p>
            <w:r>
              <w:rPr>
                <w:sz w:val="20"/>
              </w:rPr>
              <w:t>Échantillon serveurs P1</w:t>
            </w:r>
          </w:p>
        </w:tc>
      </w:tr>
      <w:tr>
        <w:tc>
          <w:tcPr>
            <w:tcW w:type="dxa" w:w="3249"/>
            <w:vAlign w:val="center"/>
          </w:tcPr>
          <w:p>
            <w:r>
              <w:rPr>
                <w:sz w:val="20"/>
              </w:rPr>
              <w:t>Test bascule DR (partiel)</w:t>
            </w:r>
          </w:p>
        </w:tc>
        <w:tc>
          <w:tcPr>
            <w:tcW w:type="dxa" w:w="3249"/>
            <w:vAlign w:val="center"/>
          </w:tcPr>
          <w:p>
            <w:r>
              <w:rPr>
                <w:sz w:val="20"/>
              </w:rPr>
              <w:t>Trimestrielle</w:t>
            </w:r>
          </w:p>
        </w:tc>
        <w:tc>
          <w:tcPr>
            <w:tcW w:type="dxa" w:w="3249"/>
            <w:vAlign w:val="center"/>
          </w:tcPr>
          <w:p>
            <w:r>
              <w:rPr>
                <w:sz w:val="20"/>
              </w:rPr>
              <w:t>1 service P1 à la fois</w:t>
            </w:r>
          </w:p>
        </w:tc>
      </w:tr>
      <w:tr>
        <w:tc>
          <w:tcPr>
            <w:tcW w:type="dxa" w:w="3249"/>
            <w:vAlign w:val="center"/>
          </w:tcPr>
          <w:p>
            <w:r>
              <w:rPr>
                <w:sz w:val="20"/>
              </w:rPr>
              <w:t>Exercice de table (table-top)</w:t>
            </w:r>
          </w:p>
        </w:tc>
        <w:tc>
          <w:tcPr>
            <w:tcW w:type="dxa" w:w="3249"/>
            <w:vAlign w:val="center"/>
          </w:tcPr>
          <w:p>
            <w:r>
              <w:rPr>
                <w:sz w:val="20"/>
              </w:rPr>
              <w:t>Semestrielle</w:t>
            </w:r>
          </w:p>
        </w:tc>
        <w:tc>
          <w:tcPr>
            <w:tcW w:type="dxa" w:w="3249"/>
            <w:vAlign w:val="center"/>
          </w:tcPr>
          <w:p>
            <w:r>
              <w:rPr>
                <w:sz w:val="20"/>
              </w:rPr>
              <w:t>CGC complète, scénario fictif</w:t>
            </w:r>
          </w:p>
        </w:tc>
      </w:tr>
      <w:tr>
        <w:tc>
          <w:tcPr>
            <w:tcW w:type="dxa" w:w="3249"/>
            <w:vAlign w:val="center"/>
          </w:tcPr>
          <w:p>
            <w:r>
              <w:rPr>
                <w:sz w:val="20"/>
              </w:rPr>
              <w:t>Bascule complète DR (full DR drill)</w:t>
            </w:r>
          </w:p>
        </w:tc>
        <w:tc>
          <w:tcPr>
            <w:tcW w:type="dxa" w:w="3249"/>
            <w:vAlign w:val="center"/>
          </w:tcPr>
          <w:p>
            <w:r>
              <w:rPr>
                <w:sz w:val="20"/>
              </w:rPr>
              <w:t>Annuelle</w:t>
            </w:r>
          </w:p>
        </w:tc>
        <w:tc>
          <w:tcPr>
            <w:tcW w:type="dxa" w:w="3249"/>
            <w:vAlign w:val="center"/>
          </w:tcPr>
          <w:p>
            <w:r>
              <w:rPr>
                <w:sz w:val="20"/>
              </w:rPr>
              <w:t>Tous services P1 + P2</w:t>
            </w:r>
          </w:p>
        </w:tc>
      </w:tr>
      <w:tr>
        <w:tc>
          <w:tcPr>
            <w:tcW w:type="dxa" w:w="3249"/>
            <w:vAlign w:val="center"/>
          </w:tcPr>
          <w:p>
            <w:r>
              <w:rPr>
                <w:sz w:val="20"/>
              </w:rPr>
              <w:t>Exercice de crise communication</w:t>
            </w:r>
          </w:p>
        </w:tc>
        <w:tc>
          <w:tcPr>
            <w:tcW w:type="dxa" w:w="3249"/>
            <w:vAlign w:val="center"/>
          </w:tcPr>
          <w:p>
            <w:r>
              <w:rPr>
                <w:sz w:val="20"/>
              </w:rPr>
              <w:t>Annuelle</w:t>
            </w:r>
          </w:p>
        </w:tc>
        <w:tc>
          <w:tcPr>
            <w:tcW w:type="dxa" w:w="3249"/>
            <w:vAlign w:val="center"/>
          </w:tcPr>
          <w:p>
            <w:r>
              <w:rPr>
                <w:sz w:val="20"/>
              </w:rPr>
              <w:t>Cellule communication + porte-parole</w:t>
            </w:r>
          </w:p>
        </w:tc>
      </w:tr>
      <w:tr>
        <w:tc>
          <w:tcPr>
            <w:tcW w:type="dxa" w:w="3249"/>
            <w:vAlign w:val="center"/>
          </w:tcPr>
          <w:p>
            <w:r>
              <w:rPr>
                <w:sz w:val="20"/>
              </w:rPr>
              <w:t>Test PCA tous scénarios</w:t>
            </w:r>
          </w:p>
        </w:tc>
        <w:tc>
          <w:tcPr>
            <w:tcW w:type="dxa" w:w="3249"/>
            <w:vAlign w:val="center"/>
          </w:tcPr>
          <w:p>
            <w:r>
              <w:rPr>
                <w:sz w:val="20"/>
              </w:rPr>
              <w:t>Triennale</w:t>
            </w:r>
          </w:p>
        </w:tc>
        <w:tc>
          <w:tcPr>
            <w:tcW w:type="dxa" w:w="3249"/>
            <w:vAlign w:val="center"/>
          </w:tcPr>
          <w:p>
            <w:r>
              <w:rPr>
                <w:sz w:val="20"/>
              </w:rPr>
              <w:t>Audit externe ISO 22301</w:t>
            </w:r>
          </w:p>
        </w:tc>
      </w:tr>
    </w:tbl>
    <w:p>
      <w:pPr>
        <w:spacing w:before="360" w:after="160"/>
        <w:pBdr>
          <w:bottom w:val="single" w:sz="8" w:space="1" w:color="1F4E79"/>
        </w:pBdr>
      </w:pPr>
      <w:r>
        <w:rPr>
          <w:b/>
          <w:color w:val="0B2545"/>
          <w:sz w:val="36"/>
        </w:rPr>
        <w:t>11. Maintien en condition opérationnelle</w:t>
      </w:r>
    </w:p>
    <w:p>
      <w:pPr>
        <w:pStyle w:val="ListBullet"/>
        <w:spacing w:after="40"/>
      </w:pPr>
      <w:r>
        <w:t>Revue annuelle obligatoire du PCA (DG, RSSI, DSI, métiers).</w:t>
      </w:r>
    </w:p>
    <w:p>
      <w:pPr>
        <w:pStyle w:val="ListBullet"/>
        <w:spacing w:after="40"/>
      </w:pPr>
      <w:r>
        <w:t>Mise à jour après tout changement significatif (organisation, infrastructure, activité).</w:t>
      </w:r>
    </w:p>
    <w:p>
      <w:pPr>
        <w:pStyle w:val="ListBullet"/>
        <w:spacing w:after="40"/>
      </w:pPr>
      <w:r>
        <w:t>Mise à jour systématique après exercice ou crise (RETEX intégré).</w:t>
      </w:r>
    </w:p>
    <w:p>
      <w:pPr>
        <w:pStyle w:val="ListBullet"/>
        <w:spacing w:after="40"/>
      </w:pPr>
      <w:r>
        <w:t>Formation annuelle des membres de la CGC.</w:t>
      </w:r>
    </w:p>
    <w:p>
      <w:pPr>
        <w:pStyle w:val="ListBullet"/>
        <w:spacing w:after="40"/>
      </w:pPr>
      <w:r>
        <w:t>Audit interne tous les 2 ans sur conformité ISO 22301.</w:t>
      </w:r>
    </w:p>
    <w:p>
      <w:pPr>
        <w:spacing w:before="360" w:after="160"/>
        <w:pBdr>
          <w:bottom w:val="single" w:sz="8" w:space="1" w:color="1F4E79"/>
        </w:pBdr>
      </w:pPr>
      <w:r>
        <w:rPr>
          <w:b/>
          <w:color w:val="0B2545"/>
          <w:sz w:val="36"/>
        </w:rPr>
        <w:t>12. Annexes</w:t>
      </w:r>
    </w:p>
    <w:p>
      <w:pPr>
        <w:pStyle w:val="ListBullet"/>
        <w:spacing w:after="40"/>
      </w:pPr>
      <w:r>
        <w:t>Annexe 1 — Politique de continuité d'activité signée DG.</w:t>
      </w:r>
    </w:p>
    <w:p>
      <w:pPr>
        <w:pStyle w:val="ListBullet"/>
        <w:spacing w:after="40"/>
      </w:pPr>
      <w:r>
        <w:t>Annexe 2 — BIA détaillé.</w:t>
      </w:r>
    </w:p>
    <w:p>
      <w:pPr>
        <w:pStyle w:val="ListBullet"/>
        <w:spacing w:after="40"/>
      </w:pPr>
      <w:r>
        <w:t>Annexe 3 — Annuaire de crise (papier, format poche).</w:t>
      </w:r>
    </w:p>
    <w:p>
      <w:pPr>
        <w:pStyle w:val="ListBullet"/>
        <w:spacing w:after="40"/>
      </w:pPr>
      <w:r>
        <w:t>Annexe 4 — Procédures de bascule par scénario (S1-S4).</w:t>
      </w:r>
    </w:p>
    <w:p>
      <w:pPr>
        <w:pStyle w:val="ListBullet"/>
        <w:spacing w:after="40"/>
      </w:pPr>
      <w:r>
        <w:t>Annexe 5 — Modèles de communication (emails, lettres, posts).</w:t>
      </w:r>
    </w:p>
    <w:p>
      <w:pPr>
        <w:pStyle w:val="ListBullet"/>
        <w:spacing w:after="40"/>
      </w:pPr>
      <w:r>
        <w:t>Annexe 6 — Contrats de secours (sites de repli, prestataires).</w:t>
      </w:r>
    </w:p>
    <w:p>
      <w:pPr>
        <w:pStyle w:val="ListBullet"/>
        <w:spacing w:after="40"/>
      </w:pPr>
      <w:r>
        <w:t>Annexe 7 — Comptes-rendus des derniers exercices.</w:t>
      </w:r>
    </w:p>
    <w:p>
      <w:pPr>
        <w:pStyle w:val="ListBullet"/>
        <w:spacing w:after="40"/>
      </w:pPr>
      <w:r>
        <w:t>Annexe 8 — Registre des risques de continuité.</w:t>
      </w:r>
    </w:p>
    <w:sectPr w:rsidR="00FC693F" w:rsidRPr="0006063C" w:rsidSect="00034616">
      <w:headerReference w:type="default" r:id="rId9"/>
      <w:footerReference w:type="default" r:id="rId10"/>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tbl>
    <w:tblPr>
      <w:tblW w:type="auto" w:w="0"/>
      <w:tblLook w:firstColumn="1" w:firstRow="1" w:lastColumn="0" w:lastRow="0" w:noHBand="0" w:noVBand="1" w:val="04A0"/>
    </w:tblPr>
    <w:tblGrid>
      <w:gridCol w:w="3213"/>
      <w:gridCol w:w="3213"/>
      <w:gridCol w:w="3213"/>
    </w:tblGrid>
    <w:tr>
      <w:tc>
        <w:tcPr>
          <w:tcW w:type="dxa" w:w="3213"/>
        </w:tcPr>
        <w:p>
          <w:r>
            <w:rPr>
              <w:color w:val="595959"/>
              <w:sz w:val="16"/>
            </w:rPr>
            <w:t>© Ayinedjimi Consultants — ayinedjimi-consultants.fr</w:t>
          </w:r>
        </w:p>
      </w:tc>
      <w:tc>
        <w:tcPr>
          <w:tcW w:type="dxa" w:w="3213"/>
        </w:tcPr>
        <w:p>
          <w:pPr>
            <w:jc w:val="center"/>
          </w:pPr>
          <w:r>
            <w:rPr>
              <w:color w:val="595959"/>
              <w:sz w:val="16"/>
            </w:rPr>
            <w:t>Document confidentiel — Usage interne</w:t>
          </w:r>
        </w:p>
      </w:tc>
      <w:tc>
        <w:tcPr>
          <w:tcW w:type="dxa" w:w="3213"/>
        </w:tcPr>
        <w:p>
          <w:pPr>
            <w:jc w:val="right"/>
          </w:pPr>
          <w:r>
            <w:rPr>
              <w:color w:val="595959"/>
              <w:sz w:val="16"/>
            </w:rPr>
            <w:t xml:space="preserve">Page </w:t>
            <w:fldSimple w:instr="PAGE \* MERGEFORMAT">
              <w:r>
                <w:t>1</w:t>
              </w:r>
            </w:fldSimple>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ayout w:type="autofit"/>
      <w:tblLook w:firstColumn="1" w:firstRow="1" w:lastColumn="0" w:lastRow="0" w:noHBand="0" w:noVBand="1" w:val="04A0"/>
    </w:tblPr>
    <w:tblGrid>
      <w:gridCol w:w="4819"/>
      <w:gridCol w:w="4819"/>
    </w:tblGrid>
    <w:tr>
      <w:tc>
        <w:tcPr>
          <w:tcW w:type="dxa" w:w="4819"/>
        </w:tcPr>
        <w:p>
          <w:pPr>
            <w:jc w:val="left"/>
          </w:pPr>
          <w:r>
            <w:rPr>
              <w:color w:val="595959"/>
              <w:sz w:val="18"/>
            </w:rPr>
            <w:t>ayinedjimi-consultants.fr</w:t>
          </w:r>
        </w:p>
      </w:tc>
      <w:tc>
        <w:tcPr>
          <w:tcW w:type="dxa" w:w="4819"/>
        </w:tcPr>
        <w:p>
          <w:pPr>
            <w:jc w:val="right"/>
          </w:pPr>
          <w:r>
            <w:rPr>
              <w:color w:val="595959"/>
              <w:sz w:val="18"/>
            </w:rPr>
            <w:t>ISO/IEC 27001:2022 — Template Gratuit</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