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600"/>
        <w:jc w:val="center"/>
      </w:pPr>
      <w:r>
        <w:rPr>
          <w:b/>
          <w:color w:val="1F4E79"/>
          <w:sz w:val="22"/>
        </w:rPr>
        <w:t>ISO/IEC 27001:2022 — TEMPLATE GRATUIT</w:t>
      </w:r>
    </w:p>
    <w:p>
      <w:pPr>
        <w:spacing w:before="400"/>
        <w:jc w:val="center"/>
      </w:pPr>
      <w:r>
        <w:rPr>
          <w:b/>
          <w:color w:val="0B2545"/>
          <w:sz w:val="52"/>
        </w:rPr>
        <w:t>Charte d'utilisation des ressources du SI</w:t>
      </w:r>
    </w:p>
    <w:p>
      <w:pPr>
        <w:jc w:val="center"/>
      </w:pPr>
      <w:r>
        <w:rPr>
          <w:i/>
          <w:color w:val="595959"/>
          <w:sz w:val="26"/>
        </w:rPr>
        <w:t>Modèle conforme ISO/IEC 27001:2022 (A.5.10, A.6.2, A.6.3)</w:t>
      </w:r>
    </w:p>
    <w:p/>
    <w:tbl>
      <w:tblPr>
        <w:tblW w:type="auto" w:w="0"/>
        <w:jc w:val="center"/>
        <w:tblLook w:firstColumn="1" w:firstRow="1" w:lastColumn="0" w:lastRow="0" w:noHBand="0" w:noVBand="1" w:val="04A0"/>
      </w:tblPr>
      <w:tblGrid>
        <w:gridCol w:w="4873"/>
        <w:gridCol w:w="4873"/>
      </w:tblGrid>
      <w:tr>
        <w:tc>
          <w:tcPr>
            <w:tcW w:type="dxa" w:w="3969"/>
            <w:shd w:val="clear" w:color="auto" w:fill="E7EAF1"/>
          </w:tcPr>
          <w:p>
            <w:r>
              <w:rPr>
                <w:b/>
              </w:rPr>
              <w:t>Référence</w:t>
            </w:r>
          </w:p>
        </w:tc>
        <w:tc>
          <w:tcPr>
            <w:tcW w:type="dxa" w:w="3969"/>
          </w:tcPr>
          <w:p>
            <w:r>
              <w:t>TPL-ISO27001-XXXX-v1.0</w:t>
            </w:r>
          </w:p>
        </w:tc>
      </w:tr>
      <w:tr>
        <w:tc>
          <w:tcPr>
            <w:tcW w:type="dxa" w:w="3969"/>
            <w:shd w:val="clear" w:color="auto" w:fill="E7EAF1"/>
          </w:tcPr>
          <w:p>
            <w:r>
              <w:rPr>
                <w:b/>
              </w:rPr>
              <w:t>Version</w:t>
            </w:r>
          </w:p>
        </w:tc>
        <w:tc>
          <w:tcPr>
            <w:tcW w:type="dxa" w:w="3969"/>
          </w:tcPr>
          <w:p>
            <w:r>
              <w:t>1.0</w:t>
            </w:r>
          </w:p>
        </w:tc>
      </w:tr>
      <w:tr>
        <w:tc>
          <w:tcPr>
            <w:tcW w:type="dxa" w:w="3969"/>
            <w:shd w:val="clear" w:color="auto" w:fill="E7EAF1"/>
          </w:tcPr>
          <w:p>
            <w:r>
              <w:rPr>
                <w:b/>
              </w:rPr>
              <w:t>Date d'émission</w:t>
            </w:r>
          </w:p>
        </w:tc>
        <w:tc>
          <w:tcPr>
            <w:tcW w:type="dxa" w:w="3969"/>
          </w:tcPr>
          <w:p>
            <w:r>
              <w:t>—</w:t>
            </w:r>
          </w:p>
        </w:tc>
      </w:tr>
      <w:tr>
        <w:tc>
          <w:tcPr>
            <w:tcW w:type="dxa" w:w="3969"/>
            <w:shd w:val="clear" w:color="auto" w:fill="E7EAF1"/>
          </w:tcPr>
          <w:p>
            <w:r>
              <w:rPr>
                <w:b/>
              </w:rPr>
              <w:t>Approuvé par</w:t>
            </w:r>
          </w:p>
        </w:tc>
        <w:tc>
          <w:tcPr>
            <w:tcW w:type="dxa" w:w="3969"/>
          </w:tcPr>
          <w:p>
            <w:r>
              <w:t>Direction Générale / RSSI</w:t>
            </w:r>
          </w:p>
        </w:tc>
      </w:tr>
      <w:tr>
        <w:tc>
          <w:tcPr>
            <w:tcW w:type="dxa" w:w="3969"/>
            <w:shd w:val="clear" w:color="auto" w:fill="E7EAF1"/>
          </w:tcPr>
          <w:p>
            <w:r>
              <w:rPr>
                <w:b/>
              </w:rPr>
              <w:t>Classification</w:t>
            </w:r>
          </w:p>
        </w:tc>
        <w:tc>
          <w:tcPr>
            <w:tcW w:type="dxa" w:w="3969"/>
          </w:tcPr>
          <w:p>
            <w:r>
              <w:t>Interne</w:t>
            </w:r>
          </w:p>
        </w:tc>
      </w:tr>
    </w:tbl>
    <w:p>
      <w:r>
        <w:br w:type="page"/>
      </w:r>
    </w:p>
    <w:p>
      <w:pPr>
        <w:spacing w:before="360" w:after="160"/>
        <w:pBdr>
          <w:bottom w:val="single" w:sz="8" w:space="1" w:color="1F4E79"/>
        </w:pBdr>
      </w:pPr>
      <w:r>
        <w:rPr>
          <w:b/>
          <w:color w:val="0B2545"/>
          <w:sz w:val="36"/>
        </w:rPr>
        <w:t>Sommaire</w:t>
      </w:r>
    </w:p>
    <w:p>
      <w:pPr>
        <w:spacing w:after="60"/>
      </w:pPr>
      <w:r>
        <w:rPr>
          <w:sz w:val="22"/>
        </w:rPr>
        <w:t>1. Objet et portée</w:t>
      </w:r>
    </w:p>
    <w:p>
      <w:pPr>
        <w:spacing w:after="60"/>
      </w:pPr>
      <w:r>
        <w:rPr>
          <w:sz w:val="22"/>
        </w:rPr>
        <w:t>2. Champ d'application</w:t>
      </w:r>
    </w:p>
    <w:p>
      <w:pPr>
        <w:spacing w:after="60"/>
      </w:pPr>
      <w:r>
        <w:rPr>
          <w:sz w:val="22"/>
        </w:rPr>
        <w:t>3. Définitions</w:t>
      </w:r>
    </w:p>
    <w:p>
      <w:pPr>
        <w:spacing w:after="60"/>
      </w:pPr>
      <w:r>
        <w:rPr>
          <w:sz w:val="22"/>
        </w:rPr>
        <w:t>4. Droits et obligations de l'utilisateur</w:t>
      </w:r>
    </w:p>
    <w:p>
      <w:pPr>
        <w:spacing w:after="60"/>
      </w:pPr>
      <w:r>
        <w:rPr>
          <w:sz w:val="22"/>
        </w:rPr>
        <w:t>5. Règles d'usage acceptable</w:t>
      </w:r>
    </w:p>
    <w:p>
      <w:pPr>
        <w:spacing w:after="60"/>
      </w:pPr>
      <w:r>
        <w:rPr>
          <w:sz w:val="22"/>
        </w:rPr>
        <w:t>6. Authentification et mots de passe</w:t>
      </w:r>
    </w:p>
    <w:p>
      <w:pPr>
        <w:spacing w:after="60"/>
      </w:pPr>
      <w:r>
        <w:rPr>
          <w:sz w:val="22"/>
        </w:rPr>
        <w:t>7. Équipements personnels (BYOD)</w:t>
      </w:r>
    </w:p>
    <w:p>
      <w:pPr>
        <w:spacing w:after="60"/>
      </w:pPr>
      <w:r>
        <w:rPr>
          <w:sz w:val="22"/>
        </w:rPr>
        <w:t>8. Télétravail</w:t>
      </w:r>
    </w:p>
    <w:p>
      <w:pPr>
        <w:spacing w:after="60"/>
      </w:pPr>
      <w:r>
        <w:rPr>
          <w:sz w:val="22"/>
        </w:rPr>
        <w:t>9. Protection des données et confidentialité</w:t>
      </w:r>
    </w:p>
    <w:p>
      <w:pPr>
        <w:spacing w:after="60"/>
      </w:pPr>
      <w:r>
        <w:rPr>
          <w:sz w:val="22"/>
        </w:rPr>
        <w:t>10. Surveillance et journalisation</w:t>
      </w:r>
    </w:p>
    <w:p>
      <w:pPr>
        <w:spacing w:after="60"/>
      </w:pPr>
      <w:r>
        <w:rPr>
          <w:sz w:val="22"/>
        </w:rPr>
        <w:t>11. Sanctions et procédure disciplinaire</w:t>
      </w:r>
    </w:p>
    <w:p>
      <w:pPr>
        <w:spacing w:after="60"/>
      </w:pPr>
      <w:r>
        <w:rPr>
          <w:sz w:val="22"/>
        </w:rPr>
        <w:t>12. Acceptation et signature</w:t>
      </w:r>
    </w:p>
    <w:p>
      <w:r>
        <w:br w:type="page"/>
      </w:r>
    </w:p>
    <w:p>
      <w:pPr>
        <w:spacing w:before="360" w:after="160"/>
        <w:pBdr>
          <w:bottom w:val="single" w:sz="8" w:space="1" w:color="1F4E79"/>
        </w:pBdr>
      </w:pPr>
      <w:r>
        <w:rPr>
          <w:b/>
          <w:color w:val="0B2545"/>
          <w:sz w:val="36"/>
        </w:rPr>
        <w:t>1. Objet et portée</w:t>
      </w:r>
    </w:p>
    <w:p>
      <w:pPr>
        <w:spacing w:line="312" w:lineRule="auto"/>
        <w:jc w:val="both"/>
      </w:pPr>
      <w:r>
        <w:t>La présente charte définit les règles d'utilisation du système d'information (SI) mis à disposition par l'organisation, conformément aux exigences de la norme ISO/IEC 27001:2022 (contrôles A.5.10 « Utilisation acceptable des informations et autres actifs associés » et A.6.2 « Termes et conditions d'embauche »). Elle vise à protéger la confidentialité, l'intégrité et la disponibilité des informations traitées, ainsi qu'à prévenir toute utilisation non conforme des ressources du SI.</w:t>
      </w:r>
    </w:p>
    <w:p>
      <w:pPr>
        <w:spacing w:line="312" w:lineRule="auto"/>
        <w:jc w:val="both"/>
      </w:pPr>
      <w:r>
        <w:t>Elle s'inscrit dans le cadre du Code du travail, du règlement intérieur, du Règlement général sur la protection des données (RGPD — UE 2016/679) et de la loi n° 78-17 du 6 janvier 1978 modifiée relative à l'informatique, aux fichiers et aux libertés.</w:t>
      </w:r>
    </w:p>
    <w:p>
      <w:pPr>
        <w:spacing w:before="360" w:after="160"/>
        <w:pBdr>
          <w:bottom w:val="single" w:sz="8" w:space="1" w:color="1F4E79"/>
        </w:pBdr>
      </w:pPr>
      <w:r>
        <w:rPr>
          <w:b/>
          <w:color w:val="0B2545"/>
          <w:sz w:val="36"/>
        </w:rPr>
        <w:t>2. Champ d'application</w:t>
      </w:r>
    </w:p>
    <w:p>
      <w:pPr>
        <w:spacing w:line="312" w:lineRule="auto"/>
        <w:jc w:val="both"/>
      </w:pPr>
      <w:r>
        <w:t>La présente charte s'applique à toute personne (salariés en CDI/CDD, stagiaires, alternants, intérimaires, prestataires, partenaires) accédant aux ressources du SI de l'organisation, depuis les locaux ou à distance, sur du matériel professionnel ou personnel.</w:t>
      </w:r>
    </w:p>
    <w:p>
      <w:pPr>
        <w:spacing w:before="360" w:after="160"/>
        <w:pBdr>
          <w:bottom w:val="single" w:sz="8" w:space="1" w:color="1F4E79"/>
        </w:pBdr>
      </w:pPr>
      <w:r>
        <w:rPr>
          <w:b/>
          <w:color w:val="0B2545"/>
          <w:sz w:val="36"/>
        </w:rPr>
        <w:t>3. Définitions</w:t>
      </w:r>
    </w:p>
    <w:tbl>
      <w:tblPr>
        <w:tblStyle w:val="LightGrid-Accent1"/>
        <w:tblW w:type="auto" w:w="0"/>
        <w:jc w:val="center"/>
        <w:tblLook w:firstColumn="1" w:firstRow="1" w:lastColumn="0" w:lastRow="0" w:noHBand="0" w:noVBand="1" w:val="04A0"/>
      </w:tblPr>
      <w:tblGrid>
        <w:gridCol w:w="4873"/>
        <w:gridCol w:w="4873"/>
      </w:tblGrid>
      <w:tr>
        <w:tc>
          <w:tcPr>
            <w:tcW w:type="dxa" w:w="4873"/>
            <w:shd w:val="clear" w:color="auto" w:fill="1F4E79"/>
            <w:vAlign w:val="center"/>
          </w:tcPr>
          <w:p>
            <w:pPr>
              <w:jc w:val="center"/>
            </w:pPr>
            <w:r>
              <w:rPr>
                <w:b/>
                <w:color w:val="FFFFFF"/>
                <w:sz w:val="20"/>
              </w:rPr>
              <w:t>Terme</w:t>
            </w:r>
          </w:p>
        </w:tc>
        <w:tc>
          <w:tcPr>
            <w:tcW w:type="dxa" w:w="4873"/>
            <w:shd w:val="clear" w:color="auto" w:fill="1F4E79"/>
            <w:vAlign w:val="center"/>
          </w:tcPr>
          <w:p>
            <w:pPr>
              <w:jc w:val="center"/>
            </w:pPr>
            <w:r>
              <w:rPr>
                <w:b/>
                <w:color w:val="FFFFFF"/>
                <w:sz w:val="20"/>
              </w:rPr>
              <w:t>Définition</w:t>
            </w:r>
          </w:p>
        </w:tc>
      </w:tr>
      <w:tr>
        <w:tc>
          <w:tcPr>
            <w:tcW w:type="dxa" w:w="4873"/>
            <w:vAlign w:val="center"/>
          </w:tcPr>
          <w:p>
            <w:r>
              <w:rPr>
                <w:sz w:val="20"/>
              </w:rPr>
              <w:t>SI</w:t>
            </w:r>
          </w:p>
        </w:tc>
        <w:tc>
          <w:tcPr>
            <w:tcW w:type="dxa" w:w="4873"/>
            <w:vAlign w:val="center"/>
          </w:tcPr>
          <w:p>
            <w:r>
              <w:rPr>
                <w:sz w:val="20"/>
              </w:rPr>
              <w:t>Système d'information : ensemble des ressources matérielles, logicielles, réseaux, données et services</w:t>
            </w:r>
          </w:p>
        </w:tc>
      </w:tr>
      <w:tr>
        <w:tc>
          <w:tcPr>
            <w:tcW w:type="dxa" w:w="4873"/>
            <w:vAlign w:val="center"/>
          </w:tcPr>
          <w:p>
            <w:r>
              <w:rPr>
                <w:sz w:val="20"/>
              </w:rPr>
              <w:t>Utilisateur</w:t>
            </w:r>
          </w:p>
        </w:tc>
        <w:tc>
          <w:tcPr>
            <w:tcW w:type="dxa" w:w="4873"/>
            <w:vAlign w:val="center"/>
          </w:tcPr>
          <w:p>
            <w:r>
              <w:rPr>
                <w:sz w:val="20"/>
              </w:rPr>
              <w:t>Toute personne physique disposant d'un accès au SI</w:t>
            </w:r>
          </w:p>
        </w:tc>
      </w:tr>
      <w:tr>
        <w:tc>
          <w:tcPr>
            <w:tcW w:type="dxa" w:w="4873"/>
            <w:vAlign w:val="center"/>
          </w:tcPr>
          <w:p>
            <w:r>
              <w:rPr>
                <w:sz w:val="20"/>
              </w:rPr>
              <w:t>Information</w:t>
            </w:r>
          </w:p>
        </w:tc>
        <w:tc>
          <w:tcPr>
            <w:tcW w:type="dxa" w:w="4873"/>
            <w:vAlign w:val="center"/>
          </w:tcPr>
          <w:p>
            <w:r>
              <w:rPr>
                <w:sz w:val="20"/>
              </w:rPr>
              <w:t>Donnée traitée, stockée ou transmise par le SI</w:t>
            </w:r>
          </w:p>
        </w:tc>
      </w:tr>
      <w:tr>
        <w:tc>
          <w:tcPr>
            <w:tcW w:type="dxa" w:w="4873"/>
            <w:vAlign w:val="center"/>
          </w:tcPr>
          <w:p>
            <w:r>
              <w:rPr>
                <w:sz w:val="20"/>
              </w:rPr>
              <w:t>Incident de sécurité</w:t>
            </w:r>
          </w:p>
        </w:tc>
        <w:tc>
          <w:tcPr>
            <w:tcW w:type="dxa" w:w="4873"/>
            <w:vAlign w:val="center"/>
          </w:tcPr>
          <w:p>
            <w:r>
              <w:rPr>
                <w:sz w:val="20"/>
              </w:rPr>
              <w:t>Événement portant atteinte à la confidentialité, l'intégrité ou la disponibilité d'un actif</w:t>
            </w:r>
          </w:p>
        </w:tc>
      </w:tr>
      <w:tr>
        <w:tc>
          <w:tcPr>
            <w:tcW w:type="dxa" w:w="4873"/>
            <w:vAlign w:val="center"/>
          </w:tcPr>
          <w:p>
            <w:r>
              <w:rPr>
                <w:sz w:val="20"/>
              </w:rPr>
              <w:t>BYOD</w:t>
            </w:r>
          </w:p>
        </w:tc>
        <w:tc>
          <w:tcPr>
            <w:tcW w:type="dxa" w:w="4873"/>
            <w:vAlign w:val="center"/>
          </w:tcPr>
          <w:p>
            <w:r>
              <w:rPr>
                <w:sz w:val="20"/>
              </w:rPr>
              <w:t>Bring Your Own Device — usage professionnel d'un équipement personnel</w:t>
            </w:r>
          </w:p>
        </w:tc>
      </w:tr>
    </w:tbl>
    <w:p>
      <w:pPr>
        <w:spacing w:before="360" w:after="160"/>
        <w:pBdr>
          <w:bottom w:val="single" w:sz="8" w:space="1" w:color="1F4E79"/>
        </w:pBdr>
      </w:pPr>
      <w:r>
        <w:rPr>
          <w:b/>
          <w:color w:val="0B2545"/>
          <w:sz w:val="36"/>
        </w:rPr>
        <w:t>4. Droits et obligations de l'utilisateur</w:t>
      </w:r>
    </w:p>
    <w:p>
      <w:pPr>
        <w:spacing w:before="240" w:after="80"/>
      </w:pPr>
      <w:r>
        <w:rPr>
          <w:b/>
          <w:color w:val="1F4E79"/>
          <w:sz w:val="26"/>
        </w:rPr>
        <w:t>4.1 Droits</w:t>
      </w:r>
    </w:p>
    <w:p>
      <w:pPr>
        <w:pStyle w:val="ListBullet"/>
        <w:spacing w:after="40"/>
      </w:pPr>
      <w:r>
        <w:t>Disposer des ressources nécessaires à l'exercice de ses fonctions.</w:t>
      </w:r>
    </w:p>
    <w:p>
      <w:pPr>
        <w:pStyle w:val="ListBullet"/>
        <w:spacing w:after="40"/>
      </w:pPr>
      <w:r>
        <w:t>Bénéficier d'une sensibilisation annuelle à la sécurité de l'information.</w:t>
      </w:r>
    </w:p>
    <w:p>
      <w:pPr>
        <w:pStyle w:val="ListBullet"/>
        <w:spacing w:after="40"/>
      </w:pPr>
      <w:r>
        <w:t>Être informé des dispositifs de surveillance mis en œuvre, dans le respect du RGPD.</w:t>
      </w:r>
    </w:p>
    <w:p>
      <w:pPr>
        <w:pStyle w:val="ListBullet"/>
        <w:spacing w:after="40"/>
      </w:pPr>
      <w:r>
        <w:t>Exercer ses droits sur ses données personnelles auprès du DPO.</w:t>
      </w:r>
    </w:p>
    <w:p>
      <w:pPr>
        <w:spacing w:before="240" w:after="80"/>
      </w:pPr>
      <w:r>
        <w:rPr>
          <w:b/>
          <w:color w:val="1F4E79"/>
          <w:sz w:val="26"/>
        </w:rPr>
        <w:t>4.2 Obligations</w:t>
      </w:r>
    </w:p>
    <w:p>
      <w:pPr>
        <w:pStyle w:val="ListBullet"/>
        <w:spacing w:after="40"/>
      </w:pPr>
      <w:r>
        <w:t>Utiliser le SI dans un but strictement professionnel, l'usage privé restant exceptionnel et raisonnable.</w:t>
      </w:r>
    </w:p>
    <w:p>
      <w:pPr>
        <w:pStyle w:val="ListBullet"/>
        <w:spacing w:after="40"/>
      </w:pPr>
      <w:r>
        <w:t>Respecter les politiques et procédures de sécurité publiées par le RSSI.</w:t>
      </w:r>
    </w:p>
    <w:p>
      <w:pPr>
        <w:pStyle w:val="ListBullet"/>
        <w:spacing w:after="40"/>
      </w:pPr>
      <w:r>
        <w:t>Signaler sans délai tout incident, suspicion d'incident, faiblesse ou comportement anormal.</w:t>
      </w:r>
    </w:p>
    <w:p>
      <w:pPr>
        <w:pStyle w:val="ListBullet"/>
        <w:spacing w:after="40"/>
      </w:pPr>
      <w:r>
        <w:t>Ne pas chercher à contourner les mesures de sécurité (pare-feu, antivirus, contrôles d'accès).</w:t>
      </w:r>
    </w:p>
    <w:p>
      <w:pPr>
        <w:pStyle w:val="ListBullet"/>
        <w:spacing w:after="40"/>
      </w:pPr>
      <w:r>
        <w:t>Restituer l'ensemble des actifs (matériel, badges, supports, documents) en cas de cessation d'activité.</w:t>
      </w:r>
    </w:p>
    <w:p>
      <w:pPr>
        <w:spacing w:before="360" w:after="160"/>
        <w:pBdr>
          <w:bottom w:val="single" w:sz="8" w:space="1" w:color="1F4E79"/>
        </w:pBdr>
      </w:pPr>
      <w:r>
        <w:rPr>
          <w:b/>
          <w:color w:val="0B2545"/>
          <w:sz w:val="36"/>
        </w:rPr>
        <w:t>5. Règles d'usage acceptable</w:t>
      </w:r>
    </w:p>
    <w:p>
      <w:pPr>
        <w:spacing w:before="240" w:after="80"/>
      </w:pPr>
      <w:r>
        <w:rPr>
          <w:b/>
          <w:color w:val="1F4E79"/>
          <w:sz w:val="26"/>
        </w:rPr>
        <w:t>5.1 Usage autorisé</w:t>
      </w:r>
    </w:p>
    <w:p>
      <w:pPr>
        <w:spacing w:line="312" w:lineRule="auto"/>
        <w:jc w:val="both"/>
      </w:pPr>
      <w:r>
        <w:t>L'utilisateur s'engage à utiliser les ressources du SI exclusivement pour l'exécution des missions qui lui sont confiées et conformément aux finalités définies par l'organisation.</w:t>
      </w:r>
    </w:p>
    <w:p>
      <w:pPr>
        <w:spacing w:before="240" w:after="80"/>
      </w:pPr>
      <w:r>
        <w:rPr>
          <w:b/>
          <w:color w:val="1F4E79"/>
          <w:sz w:val="26"/>
        </w:rPr>
        <w:t>5.2 Usages strictement interdits</w:t>
      </w:r>
    </w:p>
    <w:p>
      <w:pPr>
        <w:pStyle w:val="ListBullet"/>
        <w:spacing w:after="40"/>
      </w:pPr>
      <w:r>
        <w:t>Accéder à des contenus illégaux, pornographiques, diffamatoires, racistes ou discriminatoires.</w:t>
      </w:r>
    </w:p>
    <w:p>
      <w:pPr>
        <w:pStyle w:val="ListBullet"/>
        <w:spacing w:after="40"/>
      </w:pPr>
      <w:r>
        <w:t>Installer ou utiliser des logiciels sans autorisation préalable de la DSI.</w:t>
      </w:r>
    </w:p>
    <w:p>
      <w:pPr>
        <w:pStyle w:val="ListBullet"/>
        <w:spacing w:after="40"/>
      </w:pPr>
      <w:r>
        <w:t>Diffuser des informations classifiées « Confidentielles » ou « Restreintes » à des tiers non habilités.</w:t>
      </w:r>
    </w:p>
    <w:p>
      <w:pPr>
        <w:pStyle w:val="ListBullet"/>
        <w:spacing w:after="40"/>
      </w:pPr>
      <w:r>
        <w:t>Connecter du matériel non autorisé sur le réseau interne (clés USB inconnues, modems privés).</w:t>
      </w:r>
    </w:p>
    <w:p>
      <w:pPr>
        <w:pStyle w:val="ListBullet"/>
        <w:spacing w:after="40"/>
      </w:pPr>
      <w:r>
        <w:t>Utiliser le SI pour une activité commerciale personnelle ou un usage politique/religieux.</w:t>
      </w:r>
    </w:p>
    <w:p>
      <w:pPr>
        <w:pStyle w:val="ListBullet"/>
        <w:spacing w:after="40"/>
      </w:pPr>
      <w:r>
        <w:t>Contourner les filtrages réseau (proxy, VPN personnel, anonymiseurs).</w:t>
      </w:r>
    </w:p>
    <w:p>
      <w:pPr>
        <w:spacing w:before="360" w:after="160"/>
        <w:pBdr>
          <w:bottom w:val="single" w:sz="8" w:space="1" w:color="1F4E79"/>
        </w:pBdr>
      </w:pPr>
      <w:r>
        <w:rPr>
          <w:b/>
          <w:color w:val="0B2545"/>
          <w:sz w:val="36"/>
        </w:rPr>
        <w:t>6. Authentification et mots de passe</w:t>
      </w:r>
    </w:p>
    <w:p>
      <w:pPr>
        <w:spacing w:line="312" w:lineRule="auto"/>
        <w:jc w:val="both"/>
      </w:pPr>
      <w:r>
        <w:t>Conformément à la politique de mots de passe et au contrôle A.5.17 d'ISO 27001:2022, l'utilisateur doit :</w:t>
      </w:r>
    </w:p>
    <w:p>
      <w:pPr>
        <w:pStyle w:val="ListBullet"/>
        <w:spacing w:after="40"/>
      </w:pPr>
      <w:r>
        <w:t>Choisir un mot de passe d'au moins quatorze (14) caractères, sans usage de mots du dictionnaire.</w:t>
      </w:r>
    </w:p>
    <w:p>
      <w:pPr>
        <w:pStyle w:val="ListBullet"/>
        <w:spacing w:after="40"/>
      </w:pPr>
      <w:r>
        <w:t>Ne jamais partager ses identifiants, y compris avec un supérieur hiérarchique ou la DSI.</w:t>
      </w:r>
    </w:p>
    <w:p>
      <w:pPr>
        <w:pStyle w:val="ListBullet"/>
        <w:spacing w:after="40"/>
      </w:pPr>
      <w:r>
        <w:t>Activer l'authentification multifacteur (MFA) sur tous les services proposant cette option.</w:t>
      </w:r>
    </w:p>
    <w:p>
      <w:pPr>
        <w:pStyle w:val="ListBullet"/>
        <w:spacing w:after="40"/>
      </w:pPr>
      <w:r>
        <w:t>Verrouiller systématiquement sa session lors de toute absence du poste (Win+L).</w:t>
      </w:r>
    </w:p>
    <w:p>
      <w:pPr>
        <w:pStyle w:val="ListBullet"/>
        <w:spacing w:after="40"/>
      </w:pPr>
      <w:r>
        <w:t>Signaler immédiatement toute compromission ou suspicion de compromission de ses identifiants.</w:t>
      </w:r>
    </w:p>
    <w:p>
      <w:pPr>
        <w:spacing w:before="360" w:after="160"/>
        <w:pBdr>
          <w:bottom w:val="single" w:sz="8" w:space="1" w:color="1F4E79"/>
        </w:pBdr>
      </w:pPr>
      <w:r>
        <w:rPr>
          <w:b/>
          <w:color w:val="0B2545"/>
          <w:sz w:val="36"/>
        </w:rPr>
        <w:t>7. Équipements personnels (BYOD)</w:t>
      </w:r>
    </w:p>
    <w:p>
      <w:pPr>
        <w:spacing w:line="312" w:lineRule="auto"/>
        <w:jc w:val="both"/>
      </w:pPr>
      <w:r>
        <w:t>L'usage d'équipements personnels à des fins professionnelles n'est autorisé qu'à titre exceptionnel, dans le cadre d'un dispositif approuvé par la DSI (MDM, conteneurisation, accès via portail web sécurisé). L'utilisateur s'engage à :</w:t>
      </w:r>
    </w:p>
    <w:p>
      <w:pPr>
        <w:pStyle w:val="ListBullet"/>
        <w:spacing w:after="40"/>
      </w:pPr>
      <w:r>
        <w:t>Maintenir son équipement à jour (OS, navigateur, antivirus).</w:t>
      </w:r>
    </w:p>
    <w:p>
      <w:pPr>
        <w:pStyle w:val="ListBullet"/>
        <w:spacing w:after="40"/>
      </w:pPr>
      <w:r>
        <w:t>Activer un code de déverrouillage (PIN ≥ 6 chiffres ou biométrie).</w:t>
      </w:r>
    </w:p>
    <w:p>
      <w:pPr>
        <w:pStyle w:val="ListBullet"/>
        <w:spacing w:after="40"/>
      </w:pPr>
      <w:r>
        <w:t>Chiffrer le stockage de l'appareil.</w:t>
      </w:r>
    </w:p>
    <w:p>
      <w:pPr>
        <w:pStyle w:val="ListBullet"/>
        <w:spacing w:after="40"/>
      </w:pPr>
      <w:r>
        <w:t>Accepter l'effacement à distance des données professionnelles en cas de perte ou de vol.</w:t>
      </w:r>
    </w:p>
    <w:p>
      <w:pPr>
        <w:spacing w:before="360" w:after="160"/>
        <w:pBdr>
          <w:bottom w:val="single" w:sz="8" w:space="1" w:color="1F4E79"/>
        </w:pBdr>
      </w:pPr>
      <w:r>
        <w:rPr>
          <w:b/>
          <w:color w:val="0B2545"/>
          <w:sz w:val="36"/>
        </w:rPr>
        <w:t>8. Télétravail</w:t>
      </w:r>
    </w:p>
    <w:p>
      <w:pPr>
        <w:spacing w:line="312" w:lineRule="auto"/>
        <w:jc w:val="both"/>
      </w:pPr>
      <w:r>
        <w:t>Le télétravail s'inscrit dans le cadre de l'accord d'entreprise et de la politique de télétravail/BYOD applicable. L'utilisateur doit :</w:t>
      </w:r>
    </w:p>
    <w:p>
      <w:pPr>
        <w:pStyle w:val="ListBullet"/>
        <w:spacing w:after="40"/>
      </w:pPr>
      <w:r>
        <w:t>Utiliser exclusivement la connexion VPN d'entreprise pour accéder aux ressources internes.</w:t>
      </w:r>
    </w:p>
    <w:p>
      <w:pPr>
        <w:pStyle w:val="ListBullet"/>
        <w:spacing w:after="40"/>
      </w:pPr>
      <w:r>
        <w:t>Travailler dans un environnement préservant la confidentialité (filtres écran si nécessaire).</w:t>
      </w:r>
    </w:p>
    <w:p>
      <w:pPr>
        <w:pStyle w:val="ListBullet"/>
        <w:spacing w:after="40"/>
      </w:pPr>
      <w:r>
        <w:t>Ne pas imprimer de documents confidentiels sur une imprimante non maîtrisée.</w:t>
      </w:r>
    </w:p>
    <w:p>
      <w:pPr>
        <w:pStyle w:val="ListBullet"/>
        <w:spacing w:after="40"/>
      </w:pPr>
      <w:r>
        <w:t>Respecter le droit à la déconnexion en dehors des plages de travail définies.</w:t>
      </w:r>
    </w:p>
    <w:p>
      <w:pPr>
        <w:spacing w:before="360" w:after="160"/>
        <w:pBdr>
          <w:bottom w:val="single" w:sz="8" w:space="1" w:color="1F4E79"/>
        </w:pBdr>
      </w:pPr>
      <w:r>
        <w:rPr>
          <w:b/>
          <w:color w:val="0B2545"/>
          <w:sz w:val="36"/>
        </w:rPr>
        <w:t>9. Protection des données et confidentialité</w:t>
      </w:r>
    </w:p>
    <w:p>
      <w:pPr>
        <w:spacing w:line="312" w:lineRule="auto"/>
        <w:jc w:val="both"/>
      </w:pPr>
      <w:r>
        <w:t>L'utilisateur est tenu au secret professionnel sur toutes les informations dont il a connaissance dans l'exercice de ses fonctions. Cette obligation perdure après la cessation des fonctions.</w:t>
      </w:r>
    </w:p>
    <w:p>
      <w:pPr>
        <w:spacing w:line="312" w:lineRule="auto"/>
        <w:jc w:val="both"/>
      </w:pPr>
      <w:r>
        <w:t>Tout traitement de données personnelles doit être conforme au RGPD et aux registres de traitement tenus par le DPO (registre Art. 30). En cas de violation de données, l'utilisateur doit alerter immédiatement le DPO et le RSSI conformément à la procédure de gestion des incidents (notification CNIL sous 72 h).</w:t>
      </w:r>
    </w:p>
    <w:p>
      <w:pPr>
        <w:spacing w:before="360" w:after="160"/>
        <w:pBdr>
          <w:bottom w:val="single" w:sz="8" w:space="1" w:color="1F4E79"/>
        </w:pBdr>
      </w:pPr>
      <w:r>
        <w:rPr>
          <w:b/>
          <w:color w:val="0B2545"/>
          <w:sz w:val="36"/>
        </w:rPr>
        <w:t>10. Surveillance et journalisation</w:t>
      </w:r>
    </w:p>
    <w:p>
      <w:pPr>
        <w:spacing w:line="312" w:lineRule="auto"/>
        <w:jc w:val="both"/>
      </w:pPr>
      <w:r>
        <w:t>L'organisation procède à la journalisation des activités sur le SI (accès, transferts de fichiers, navigation web, événements sécurité) à des fins de protection des actifs, de détection d'incidents et de respect des obligations légales. Ces dispositifs ont fait l'objet d'une analyse d'impact (AIPD) et d'une information aux représentants du personnel (CSE).</w:t>
      </w:r>
    </w:p>
    <w:p>
      <w:pPr>
        <w:spacing w:line="312" w:lineRule="auto"/>
        <w:jc w:val="both"/>
      </w:pPr>
      <w:r>
        <w:t>Les journaux sont conservés pendant 6 mois à 1 an selon leur nature, dans un environnement sécurisé, et ne sont accessibles qu'aux personnes habilitées (RSSI, SOC, autorités judiciaires sur réquisition).</w:t>
      </w:r>
    </w:p>
    <w:p>
      <w:pPr>
        <w:spacing w:before="360" w:after="160"/>
        <w:pBdr>
          <w:bottom w:val="single" w:sz="8" w:space="1" w:color="1F4E79"/>
        </w:pBdr>
      </w:pPr>
      <w:r>
        <w:rPr>
          <w:b/>
          <w:color w:val="0B2545"/>
          <w:sz w:val="36"/>
        </w:rPr>
        <w:t>11. Sanctions et procédure disciplinaire</w:t>
      </w:r>
    </w:p>
    <w:p>
      <w:pPr>
        <w:spacing w:line="312" w:lineRule="auto"/>
        <w:jc w:val="both"/>
      </w:pPr>
      <w:r>
        <w:t>Le non-respect de la présente charte expose l'utilisateur à des sanctions disciplinaires, pouvant aller jusqu'au licenciement pour faute, conformément au règlement intérieur de l'organisation et au Code du travail (art. L.1331-1 et suivants). Les manquements peuvent également entraîner des poursuites civiles et/ou pénales (Code pénal art. 323-1 à 323-7).</w:t>
      </w:r>
    </w:p>
    <w:p>
      <w:pPr>
        <w:spacing w:before="360" w:after="160"/>
        <w:pBdr>
          <w:bottom w:val="single" w:sz="8" w:space="1" w:color="1F4E79"/>
        </w:pBdr>
      </w:pPr>
      <w:r>
        <w:rPr>
          <w:b/>
          <w:color w:val="0B2545"/>
          <w:sz w:val="36"/>
        </w:rPr>
        <w:t>12. Acceptation et signature</w:t>
      </w:r>
    </w:p>
    <w:p>
      <w:pPr>
        <w:spacing w:line="312" w:lineRule="auto"/>
        <w:jc w:val="both"/>
      </w:pPr>
      <w:r>
        <w:t>Je soussigné(e), reconnais avoir pris connaissance de la présente charte, en avoir compris la portée et m'engage à en respecter les dispositions.</w:t>
      </w:r>
    </w:p>
    <w:tbl>
      <w:tblPr>
        <w:tblStyle w:val="LightGrid-Accent1"/>
        <w:tblW w:type="auto" w:w="0"/>
        <w:jc w:val="center"/>
        <w:tblLook w:firstColumn="1" w:firstRow="1" w:lastColumn="0" w:lastRow="0" w:noHBand="0" w:noVBand="1" w:val="04A0"/>
      </w:tblPr>
      <w:tblGrid>
        <w:gridCol w:w="2436"/>
        <w:gridCol w:w="2436"/>
        <w:gridCol w:w="2436"/>
        <w:gridCol w:w="2436"/>
      </w:tblGrid>
      <w:tr>
        <w:tc>
          <w:tcPr>
            <w:tcW w:type="dxa" w:w="2436"/>
            <w:shd w:val="clear" w:color="auto" w:fill="1F4E79"/>
            <w:vAlign w:val="center"/>
          </w:tcPr>
          <w:p>
            <w:pPr>
              <w:jc w:val="center"/>
            </w:pPr>
            <w:r>
              <w:rPr>
                <w:b/>
                <w:color w:val="FFFFFF"/>
                <w:sz w:val="20"/>
              </w:rPr>
              <w:t>Nom / Prénom</w:t>
            </w:r>
          </w:p>
        </w:tc>
        <w:tc>
          <w:tcPr>
            <w:tcW w:type="dxa" w:w="2436"/>
            <w:shd w:val="clear" w:color="auto" w:fill="1F4E79"/>
            <w:vAlign w:val="center"/>
          </w:tcPr>
          <w:p>
            <w:pPr>
              <w:jc w:val="center"/>
            </w:pPr>
            <w:r>
              <w:rPr>
                <w:b/>
                <w:color w:val="FFFFFF"/>
                <w:sz w:val="20"/>
              </w:rPr>
              <w:t>Fonction</w:t>
            </w:r>
          </w:p>
        </w:tc>
        <w:tc>
          <w:tcPr>
            <w:tcW w:type="dxa" w:w="2436"/>
            <w:shd w:val="clear" w:color="auto" w:fill="1F4E79"/>
            <w:vAlign w:val="center"/>
          </w:tcPr>
          <w:p>
            <w:pPr>
              <w:jc w:val="center"/>
            </w:pPr>
            <w:r>
              <w:rPr>
                <w:b/>
                <w:color w:val="FFFFFF"/>
                <w:sz w:val="20"/>
              </w:rPr>
              <w:t>Date</w:t>
            </w:r>
          </w:p>
        </w:tc>
        <w:tc>
          <w:tcPr>
            <w:tcW w:type="dxa" w:w="2436"/>
            <w:shd w:val="clear" w:color="auto" w:fill="1F4E79"/>
            <w:vAlign w:val="center"/>
          </w:tcPr>
          <w:p>
            <w:pPr>
              <w:jc w:val="center"/>
            </w:pPr>
            <w:r>
              <w:rPr>
                <w:b/>
                <w:color w:val="FFFFFF"/>
                <w:sz w:val="20"/>
              </w:rPr>
              <w:t>Signature</w:t>
            </w:r>
          </w:p>
        </w:tc>
      </w:tr>
      <w:tr>
        <w:tc>
          <w:tcPr>
            <w:tcW w:type="dxa" w:w="2436"/>
            <w:vAlign w:val="center"/>
          </w:tcPr>
          <w:p>
            <w:r>
              <w:rPr>
                <w:sz w:val="20"/>
              </w:rPr>
            </w:r>
          </w:p>
        </w:tc>
        <w:tc>
          <w:tcPr>
            <w:tcW w:type="dxa" w:w="2436"/>
            <w:vAlign w:val="center"/>
          </w:tcPr>
          <w:p>
            <w:r>
              <w:rPr>
                <w:sz w:val="20"/>
              </w:rPr>
            </w:r>
          </w:p>
        </w:tc>
        <w:tc>
          <w:tcPr>
            <w:tcW w:type="dxa" w:w="2436"/>
            <w:vAlign w:val="center"/>
          </w:tcPr>
          <w:p>
            <w:r>
              <w:rPr>
                <w:sz w:val="20"/>
              </w:rPr>
            </w:r>
          </w:p>
        </w:tc>
        <w:tc>
          <w:tcPr>
            <w:tcW w:type="dxa" w:w="2436"/>
            <w:vAlign w:val="center"/>
          </w:tcPr>
          <w:p>
            <w:r>
              <w:rPr>
                <w:sz w:val="20"/>
              </w:rPr>
            </w:r>
          </w:p>
        </w:tc>
      </w:tr>
    </w:tbl>
    <w:sectPr w:rsidR="00FC693F" w:rsidRPr="0006063C" w:rsidSect="00034616">
      <w:headerReference w:type="default" r:id="rId9"/>
      <w:footerReference w:type="default" r:id="rId10"/>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tblLook w:firstColumn="1" w:firstRow="1" w:lastColumn="0" w:lastRow="0" w:noHBand="0" w:noVBand="1" w:val="04A0"/>
    </w:tblPr>
    <w:tblGrid>
      <w:gridCol w:w="3213"/>
      <w:gridCol w:w="3213"/>
      <w:gridCol w:w="3213"/>
    </w:tblGrid>
    <w:tr>
      <w:tc>
        <w:tcPr>
          <w:tcW w:type="dxa" w:w="3213"/>
        </w:tcPr>
        <w:p>
          <w:r>
            <w:rPr>
              <w:color w:val="595959"/>
              <w:sz w:val="16"/>
            </w:rPr>
            <w:t>© Ayinedjimi Consultants — ayinedjimi-consultants.fr</w:t>
          </w:r>
        </w:p>
      </w:tc>
      <w:tc>
        <w:tcPr>
          <w:tcW w:type="dxa" w:w="3213"/>
        </w:tcPr>
        <w:p>
          <w:pPr>
            <w:jc w:val="center"/>
          </w:pPr>
          <w:r>
            <w:rPr>
              <w:color w:val="595959"/>
              <w:sz w:val="16"/>
            </w:rPr>
            <w:t>Document confidentiel — Usage interne</w:t>
          </w:r>
        </w:p>
      </w:tc>
      <w:tc>
        <w:tcPr>
          <w:tcW w:type="dxa" w:w="3213"/>
        </w:tcPr>
        <w:p>
          <w:pPr>
            <w:jc w:val="right"/>
          </w:pPr>
          <w:r>
            <w:rPr>
              <w:color w:val="595959"/>
              <w:sz w:val="16"/>
            </w:rPr>
            <w:t xml:space="preserve">Page </w:t>
            <w:fldSimple w:instr="PAGE \* MERGEFORMAT">
              <w:r>
                <w:t>1</w:t>
              </w:r>
            </w:fldSimple>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ayout w:type="autofit"/>
      <w:tblLook w:firstColumn="1" w:firstRow="1" w:lastColumn="0" w:lastRow="0" w:noHBand="0" w:noVBand="1" w:val="04A0"/>
    </w:tblPr>
    <w:tblGrid>
      <w:gridCol w:w="4819"/>
      <w:gridCol w:w="4819"/>
    </w:tblGrid>
    <w:tr>
      <w:tc>
        <w:tcPr>
          <w:tcW w:type="dxa" w:w="4819"/>
        </w:tcPr>
        <w:p>
          <w:pPr>
            <w:jc w:val="left"/>
          </w:pPr>
          <w:r>
            <w:rPr>
              <w:color w:val="595959"/>
              <w:sz w:val="18"/>
            </w:rPr>
            <w:t>ayinedjimi-consultants.fr</w:t>
          </w:r>
        </w:p>
      </w:tc>
      <w:tc>
        <w:tcPr>
          <w:tcW w:type="dxa" w:w="4819"/>
        </w:tcPr>
        <w:p>
          <w:pPr>
            <w:jc w:val="right"/>
          </w:pPr>
          <w:r>
            <w:rPr>
              <w:color w:val="595959"/>
              <w:sz w:val="18"/>
            </w:rPr>
            <w:t>ISO/IEC 27001:2022 — Template Gratuit</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