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C9A961"/>
          <w:sz w:val="28"/>
        </w:rPr>
        <w:t>ISO/IEC 27001:2022</w:t>
      </w:r>
    </w:p>
    <w:p>
      <w:pPr>
        <w:spacing w:before="400"/>
        <w:jc w:val="center"/>
      </w:pPr>
      <w:r>
        <w:rPr>
          <w:b/>
          <w:color w:val="1F3A5F"/>
          <w:sz w:val="48"/>
        </w:rPr>
        <w:t>Analyse du contexte de l'organisation</w:t>
      </w:r>
    </w:p>
    <w:p>
      <w:pPr>
        <w:jc w:val="center"/>
      </w:pPr>
      <w:r>
        <w:rPr>
          <w:i/>
          <w:color w:val="555555"/>
          <w:sz w:val="26"/>
        </w:rPr>
        <w:t>Clauses 4.1 et 4.2 — Enjeux et parties intéressées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118"/>
        <w:gridCol w:w="4535"/>
      </w:tblGrid>
      <w:tr>
        <w:tc>
          <w:tcPr>
            <w:tcW w:type="dxa" w:w="4986"/>
            <w:shd w:fill="F4F1EA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>
              <w:rPr>
                <w:b/>
                <w:sz w:val="20"/>
              </w:rPr>
              <w:t>Référence document</w:t>
            </w:r>
          </w:p>
        </w:tc>
        <w:tc>
          <w:tcPr>
            <w:tcW w:type="dxa" w:w="4986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>
              <w:rPr>
                <w:sz w:val="20"/>
              </w:rPr>
              <w:t>DOC-SMSI-CTX-001</w:t>
            </w:r>
          </w:p>
        </w:tc>
      </w:tr>
      <w:tr>
        <w:tc>
          <w:tcPr>
            <w:tcW w:type="dxa" w:w="4986"/>
            <w:shd w:fill="F4F1EA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>
              <w:rPr>
                <w:b/>
                <w:sz w:val="20"/>
              </w:rPr>
              <w:t>Version</w:t>
            </w:r>
          </w:p>
        </w:tc>
        <w:tc>
          <w:tcPr>
            <w:tcW w:type="dxa" w:w="4986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>
              <w:rPr>
                <w:sz w:val="20"/>
              </w:rPr>
              <w:t>1.0</w:t>
            </w:r>
          </w:p>
        </w:tc>
      </w:tr>
      <w:tr>
        <w:tc>
          <w:tcPr>
            <w:tcW w:type="dxa" w:w="4986"/>
            <w:shd w:fill="F4F1EA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>
              <w:rPr>
                <w:b/>
                <w:sz w:val="20"/>
              </w:rPr>
              <w:t>Date de publication</w:t>
            </w:r>
          </w:p>
        </w:tc>
        <w:tc>
          <w:tcPr>
            <w:tcW w:type="dxa" w:w="4986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>
              <w:rPr>
                <w:sz w:val="20"/>
              </w:rPr>
              <w:t>15/05/2026</w:t>
            </w:r>
          </w:p>
        </w:tc>
      </w:tr>
      <w:tr>
        <w:tc>
          <w:tcPr>
            <w:tcW w:type="dxa" w:w="4986"/>
            <w:shd w:fill="F4F1EA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>
              <w:rPr>
                <w:b/>
                <w:sz w:val="20"/>
              </w:rPr>
              <w:t>Statut</w:t>
            </w:r>
          </w:p>
        </w:tc>
        <w:tc>
          <w:tcPr>
            <w:tcW w:type="dxa" w:w="4986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>
              <w:rPr>
                <w:sz w:val="20"/>
              </w:rPr>
              <w:t>Modèle — à adapter au contexte</w:t>
            </w:r>
          </w:p>
        </w:tc>
      </w:tr>
      <w:tr>
        <w:tc>
          <w:tcPr>
            <w:tcW w:type="dxa" w:w="4986"/>
            <w:shd w:fill="F4F1EA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>
              <w:rPr>
                <w:b/>
                <w:sz w:val="20"/>
              </w:rPr>
              <w:t>Diffusion</w:t>
            </w:r>
          </w:p>
        </w:tc>
        <w:tc>
          <w:tcPr>
            <w:tcW w:type="dxa" w:w="4986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>
              <w:rPr>
                <w:sz w:val="20"/>
              </w:rPr>
              <w:t>Usage interne — Confidentiel C2</w:t>
            </w:r>
          </w:p>
        </w:tc>
      </w:tr>
    </w:tbl>
    <w:p>
      <w:pPr>
        <w:spacing w:before="600"/>
        <w:jc w:val="both"/>
      </w:pPr>
      <w:r>
        <w:rPr>
          <w:i/>
          <w:color w:val="555555"/>
          <w:sz w:val="18"/>
        </w:rPr>
        <w:t>Ce modèle est fourni gratuitement par ayinedjimi-consultants.fr à des fins pédagogiques et de support à la mise en conformité ISO/IEC 27001:2022. Il doit être adapté au contexte, au périmètre et aux exigences spécifiques de l'organisme utilisateur. La responsabilité de la conformité finale incombe à l'utilisateur. Toute reproduction commerciale est interdite.</w:t>
      </w:r>
    </w:p>
    <w:p>
      <w:r>
        <w:br w:type="page"/>
      </w:r>
    </w:p>
    <w:p>
      <w:pPr>
        <w:spacing w:after="240"/>
      </w:pPr>
      <w:r>
        <w:rPr>
          <w:b/>
          <w:color w:val="1F3A5F"/>
          <w:sz w:val="36"/>
        </w:rPr>
        <w:t>Sommaire</w:t>
      </w:r>
    </w:p>
    <w:p>
      <w:pPr>
        <w:ind w:left="0"/>
      </w:pPr>
      <w:r>
        <w:rPr>
          <w:b/>
          <w:color w:val="1F3A5F"/>
          <w:sz w:val="22"/>
        </w:rPr>
        <w:t>1  Objet du document</w:t>
      </w:r>
    </w:p>
    <w:p>
      <w:pPr>
        <w:ind w:left="0"/>
      </w:pPr>
      <w:r>
        <w:rPr>
          <w:b/>
          <w:color w:val="1F3A5F"/>
          <w:sz w:val="22"/>
        </w:rPr>
        <w:t>2  Méthodologie d'analyse</w:t>
      </w:r>
    </w:p>
    <w:p>
      <w:pPr>
        <w:ind w:left="0"/>
      </w:pPr>
      <w:r>
        <w:rPr>
          <w:b/>
          <w:color w:val="1F3A5F"/>
          <w:sz w:val="22"/>
        </w:rPr>
        <w:t>3  Enjeux internes et externes (clause 4.1)</w:t>
      </w:r>
    </w:p>
    <w:p>
      <w:pPr>
        <w:ind w:left="283"/>
      </w:pPr>
      <w:r>
        <w:rPr>
          <w:sz w:val="22"/>
        </w:rPr>
        <w:t>3.1  Analyse PESTEL adaptée cyber</w:t>
      </w:r>
    </w:p>
    <w:p>
      <w:pPr>
        <w:ind w:left="283"/>
      </w:pPr>
      <w:r>
        <w:rPr>
          <w:sz w:val="22"/>
        </w:rPr>
        <w:t>3.2  Forces, faiblesses, opportunités, menaces (SWOT)</w:t>
      </w:r>
    </w:p>
    <w:p>
      <w:pPr>
        <w:ind w:left="0"/>
      </w:pPr>
      <w:r>
        <w:rPr>
          <w:b/>
          <w:color w:val="1F3A5F"/>
          <w:sz w:val="22"/>
        </w:rPr>
        <w:t>4  Parties intéressées et attentes (clause 4.2)</w:t>
      </w:r>
    </w:p>
    <w:p>
      <w:pPr>
        <w:ind w:left="283"/>
      </w:pPr>
      <w:r>
        <w:rPr>
          <w:sz w:val="22"/>
        </w:rPr>
        <w:t>4.1  Cartographie des parties intéressées</w:t>
      </w:r>
    </w:p>
    <w:p>
      <w:pPr>
        <w:ind w:left="283"/>
      </w:pPr>
      <w:r>
        <w:rPr>
          <w:sz w:val="22"/>
        </w:rPr>
        <w:t>4.2  Matrice d'analyse pouvoir/intérêt</w:t>
      </w:r>
    </w:p>
    <w:p>
      <w:pPr>
        <w:ind w:left="283"/>
      </w:pPr>
      <w:r>
        <w:rPr>
          <w:sz w:val="22"/>
        </w:rPr>
        <w:t>4.3  Attentes par partie intéressée</w:t>
      </w:r>
    </w:p>
    <w:p>
      <w:pPr>
        <w:ind w:left="0"/>
      </w:pPr>
      <w:r>
        <w:rPr>
          <w:b/>
          <w:color w:val="1F3A5F"/>
          <w:sz w:val="22"/>
        </w:rPr>
        <w:t>5  Exigences applicables et obligations</w:t>
      </w:r>
    </w:p>
    <w:p>
      <w:pPr>
        <w:ind w:left="0"/>
      </w:pPr>
      <w:r>
        <w:rPr>
          <w:b/>
          <w:color w:val="1F3A5F"/>
          <w:sz w:val="22"/>
        </w:rPr>
        <w:t>6  Synthèse et orientations stratégiques SMSI</w:t>
      </w:r>
    </w:p>
    <w:p>
      <w:pPr>
        <w:ind w:left="0"/>
      </w:pPr>
      <w:r>
        <w:rPr>
          <w:b/>
          <w:color w:val="1F3A5F"/>
          <w:sz w:val="22"/>
        </w:rPr>
        <w:t>7  Revue et mise à jour</w:t>
      </w:r>
    </w:p>
    <w:p>
      <w:pPr>
        <w:ind w:left="0"/>
      </w:pPr>
      <w:r>
        <w:rPr>
          <w:b/>
          <w:color w:val="1F3A5F"/>
          <w:sz w:val="22"/>
        </w:rPr>
        <w:t>8  Validation et signatures</w:t>
      </w:r>
    </w:p>
    <w:p>
      <w:r>
        <w:br w:type="page"/>
      </w:r>
    </w:p>
    <w:p>
      <w:pPr>
        <w:keepNext/>
        <w:spacing w:before="360" w:after="160"/>
        <w:pBdr>
          <w:bottom w:val="single" w:sz="6" w:color="C9A961"/>
        </w:pBdr>
      </w:pPr>
      <w:r>
        <w:rPr>
          <w:b/>
          <w:color w:val="1F3A5F"/>
          <w:sz w:val="32"/>
        </w:rPr>
        <w:t>1  Objet du document</w:t>
      </w:r>
    </w:p>
    <w:p>
      <w:pPr>
        <w:jc w:val="both"/>
      </w:pPr>
      <w:r>
        <w:rPr>
          <w:b w:val="0"/>
          <w:i w:val="0"/>
          <w:sz w:val="22"/>
        </w:rPr>
        <w:t>Le présent document répond aux exigences des clauses 4.1 (Compréhension de l'organisme et de son contexte) et 4.2 (Compréhension des besoins et attentes des parties intéressées) de la norme ISO/IEC 27001:2022. Il documente la compréhension formalisée du contexte stratégique, opérationnel et réglementaire dans lequel s'inscrit le SMSI, et identifie les parties intéressées pertinentes ainsi que leurs attentes.</w:t>
      </w:r>
    </w:p>
    <w:p>
      <w:pPr>
        <w:keepNext/>
        <w:spacing w:before="360" w:after="160"/>
        <w:pBdr>
          <w:bottom w:val="single" w:sz="6" w:color="C9A961"/>
        </w:pBdr>
      </w:pPr>
      <w:r>
        <w:rPr>
          <w:b/>
          <w:color w:val="1F3A5F"/>
          <w:sz w:val="32"/>
        </w:rPr>
        <w:t>2  Méthodologie d'analyse</w:t>
      </w:r>
    </w:p>
    <w:p>
      <w:pPr>
        <w:jc w:val="both"/>
      </w:pPr>
      <w:r>
        <w:rPr>
          <w:b w:val="0"/>
          <w:i w:val="0"/>
          <w:sz w:val="22"/>
        </w:rPr>
        <w:t>L'analyse repose sur les méthodes éprouvées suivantes :</w:t>
      </w:r>
    </w:p>
    <w:p>
      <w:pPr>
        <w:pStyle w:val="ListBullet"/>
        <w:ind w:left="283"/>
      </w:pPr>
      <w:r/>
      <w:r>
        <w:rPr>
          <w:sz w:val="22"/>
        </w:rPr>
        <w:t>Analyse PESTEL adaptée au domaine cybersécurité (Politique, Économique, Sociétal, Technologique, Environnemental, Légal)</w:t>
      </w:r>
    </w:p>
    <w:p>
      <w:pPr>
        <w:pStyle w:val="ListBullet"/>
        <w:ind w:left="283"/>
      </w:pPr>
      <w:r/>
      <w:r>
        <w:rPr>
          <w:sz w:val="22"/>
        </w:rPr>
        <w:t>Matrice SWOT spécifique au SMSI</w:t>
      </w:r>
    </w:p>
    <w:p>
      <w:pPr>
        <w:pStyle w:val="ListBullet"/>
        <w:ind w:left="283"/>
      </w:pPr>
      <w:r/>
      <w:r>
        <w:rPr>
          <w:sz w:val="22"/>
        </w:rPr>
        <w:t>Identification des parties intéressées via approche stakeholder (interne, externe, contractuelle, réglementaire)</w:t>
      </w:r>
    </w:p>
    <w:p>
      <w:pPr>
        <w:pStyle w:val="ListBullet"/>
        <w:ind w:left="283"/>
      </w:pPr>
      <w:r/>
      <w:r>
        <w:rPr>
          <w:sz w:val="22"/>
        </w:rPr>
        <w:t>Matrice pouvoir/intérêt de Mendelow pour priorisation</w:t>
      </w:r>
    </w:p>
    <w:p>
      <w:pPr>
        <w:pStyle w:val="ListBullet"/>
        <w:ind w:left="283"/>
      </w:pPr>
      <w:r/>
      <w:r>
        <w:rPr>
          <w:sz w:val="22"/>
        </w:rPr>
        <w:t>Ateliers transverses avec Direction, RSSI, DPO, Juridique, Métiers</w:t>
      </w:r>
    </w:p>
    <w:p>
      <w:pPr>
        <w:keepNext/>
        <w:spacing w:before="360" w:after="160"/>
        <w:pBdr>
          <w:bottom w:val="single" w:sz="6" w:color="C9A961"/>
        </w:pBdr>
      </w:pPr>
      <w:r>
        <w:rPr>
          <w:b/>
          <w:color w:val="1F3A5F"/>
          <w:sz w:val="32"/>
        </w:rPr>
        <w:t>3  Enjeux internes et externes (clause 4.1)</w:t>
      </w:r>
    </w:p>
    <w:p>
      <w:pPr>
        <w:keepNext/>
        <w:spacing w:before="280" w:after="120"/>
      </w:pPr>
      <w:r>
        <w:rPr>
          <w:b/>
          <w:color w:val="1F3A5F"/>
          <w:sz w:val="26"/>
        </w:rPr>
        <w:t>3.1  Analyse PESTEL adaptée cyber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1417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Dimension</w:t>
            </w:r>
          </w:p>
        </w:tc>
        <w:tc>
          <w:tcPr>
            <w:tcW w:type="dxa" w:w="3402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Enjeux identifiés</w:t>
            </w:r>
          </w:p>
        </w:tc>
        <w:tc>
          <w:tcPr>
            <w:tcW w:type="dxa" w:w="3402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Impact SMSI</w:t>
            </w:r>
          </w:p>
        </w:tc>
      </w:tr>
      <w:tr>
        <w:tc>
          <w:tcPr>
            <w:tcW w:type="dxa" w:w="1417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Politique</w:t>
            </w:r>
          </w:p>
        </w:tc>
        <w:tc>
          <w:tcPr>
            <w:tcW w:type="dxa" w:w="3402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Tensions géopolitiques, sanctions, État-Nation menaces, souveraineté numérique européenne</w:t>
            </w:r>
          </w:p>
        </w:tc>
        <w:tc>
          <w:tcPr>
            <w:tcW w:type="dxa" w:w="3402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Renforcer threat intelligence, souveraineté cloud, plan de crise</w:t>
            </w:r>
          </w:p>
        </w:tc>
      </w:tr>
      <w:tr>
        <w:tc>
          <w:tcPr>
            <w:tcW w:type="dxa" w:w="1417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Économique</w:t>
            </w:r>
          </w:p>
        </w:tc>
        <w:tc>
          <w:tcPr>
            <w:tcW w:type="dxa" w:w="3402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Inflation, pression budgétaire, marché cyber tendu, coût des incidents</w:t>
            </w:r>
          </w:p>
        </w:tc>
        <w:tc>
          <w:tcPr>
            <w:tcW w:type="dxa" w:w="3402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Optimisation ROI sécurité, mutualisation outils, MSSP</w:t>
            </w:r>
          </w:p>
        </w:tc>
      </w:tr>
      <w:tr>
        <w:tc>
          <w:tcPr>
            <w:tcW w:type="dxa" w:w="1417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Sociétal</w:t>
            </w:r>
          </w:p>
        </w:tc>
        <w:tc>
          <w:tcPr>
            <w:tcW w:type="dxa" w:w="3402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Pénurie talents cyber, exigences clients en matière de confiance, télétravail durable</w:t>
            </w:r>
          </w:p>
        </w:tc>
        <w:tc>
          <w:tcPr>
            <w:tcW w:type="dxa" w:w="3402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Stratégie RH, certifications fournisseurs, sécurité du télétravail</w:t>
            </w:r>
          </w:p>
        </w:tc>
      </w:tr>
      <w:tr>
        <w:tc>
          <w:tcPr>
            <w:tcW w:type="dxa" w:w="1417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Technologique</w:t>
            </w:r>
          </w:p>
        </w:tc>
        <w:tc>
          <w:tcPr>
            <w:tcW w:type="dxa" w:w="3402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IA générative, cloud généralisé, ransomware professionnalisé, quantique à horizon, IoT/OT</w:t>
            </w:r>
          </w:p>
        </w:tc>
        <w:tc>
          <w:tcPr>
            <w:tcW w:type="dxa" w:w="3402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Politique IA, Zero Trust, EDR/XDR, crypto-agilité, sécurité OT</w:t>
            </w:r>
          </w:p>
        </w:tc>
      </w:tr>
      <w:tr>
        <w:tc>
          <w:tcPr>
            <w:tcW w:type="dxa" w:w="1417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Environnemental</w:t>
            </w:r>
          </w:p>
        </w:tc>
        <w:tc>
          <w:tcPr>
            <w:tcW w:type="dxa" w:w="3402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Sobriété numérique, RSE, exigences green IT clients</w:t>
            </w:r>
          </w:p>
        </w:tc>
        <w:tc>
          <w:tcPr>
            <w:tcW w:type="dxa" w:w="3402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Sécurité des datacenters écoresponsables, élimination certifiée</w:t>
            </w:r>
          </w:p>
        </w:tc>
      </w:tr>
      <w:tr>
        <w:tc>
          <w:tcPr>
            <w:tcW w:type="dxa" w:w="1417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Légal et réglementaire</w:t>
            </w:r>
          </w:p>
        </w:tc>
        <w:tc>
          <w:tcPr>
            <w:tcW w:type="dxa" w:w="3402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RGPD, NIS 2, DORA, AI Act, Cyber Resilience Act, LPM, sectoriel</w:t>
            </w:r>
          </w:p>
        </w:tc>
        <w:tc>
          <w:tcPr>
            <w:tcW w:type="dxa" w:w="3402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Programme conformité, registre exigences, veille permanente</w:t>
            </w:r>
          </w:p>
        </w:tc>
      </w:tr>
    </w:tbl>
    <w:p>
      <w:pPr>
        <w:keepNext/>
        <w:spacing w:before="280" w:after="120"/>
      </w:pPr>
      <w:r>
        <w:rPr>
          <w:b/>
          <w:color w:val="1F3A5F"/>
          <w:sz w:val="26"/>
        </w:rPr>
        <w:t>3.2  Forces, faiblesses, opportunités, menaces (SWOT)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Catégorie</w:t>
            </w:r>
          </w:p>
        </w:tc>
        <w:tc>
          <w:tcPr>
            <w:tcW w:type="dxa" w:w="6236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Éléments identifiés</w:t>
            </w:r>
          </w:p>
        </w:tc>
      </w:tr>
      <w:tr>
        <w:tc>
          <w:tcPr>
            <w:tcW w:type="dxa" w:w="2268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Forces (internes)</w:t>
            </w:r>
          </w:p>
        </w:tc>
        <w:tc>
          <w:tcPr>
            <w:tcW w:type="dxa" w:w="6236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Engagement de la Direction, équipe SOC en place, sauvegardes 3-2-1-1-0, culture sécurité progressant, EDR déployé</w:t>
            </w:r>
          </w:p>
        </w:tc>
      </w:tr>
      <w:tr>
        <w:tc>
          <w:tcPr>
            <w:tcW w:type="dxa" w:w="2268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Faiblesses (internes)</w:t>
            </w:r>
          </w:p>
        </w:tc>
        <w:tc>
          <w:tcPr>
            <w:tcW w:type="dxa" w:w="6236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Dette technique sur applications legacy, IAM hétérogène, couverture SIEM partielle, manque de compétences cloud sécurité</w:t>
            </w:r>
          </w:p>
        </w:tc>
      </w:tr>
      <w:tr>
        <w:tc>
          <w:tcPr>
            <w:tcW w:type="dxa" w:w="2268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Opportunités (externes)</w:t>
            </w:r>
          </w:p>
        </w:tc>
        <w:tc>
          <w:tcPr>
            <w:tcW w:type="dxa" w:w="6236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Subventions ANSSI/BPI, marché cyber compétitif sur MSSP, écosystème ANSSI/CERT-FR, frameworks libres (ATT&amp;CK, EBIOS RM)</w:t>
            </w:r>
          </w:p>
        </w:tc>
      </w:tr>
      <w:tr>
        <w:tc>
          <w:tcPr>
            <w:tcW w:type="dxa" w:w="2268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Menaces (externes)</w:t>
            </w:r>
          </w:p>
        </w:tc>
        <w:tc>
          <w:tcPr>
            <w:tcW w:type="dxa" w:w="6236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Ransomware-as-a-Service, supply chain attacks, APT, fraudes deepfake/IA, vagues de phishing ciblé, exigences clients croissantes</w:t>
            </w:r>
          </w:p>
        </w:tc>
      </w:tr>
    </w:tbl>
    <w:p>
      <w:pPr>
        <w:keepNext/>
        <w:spacing w:before="360" w:after="160"/>
        <w:pBdr>
          <w:bottom w:val="single" w:sz="6" w:color="C9A961"/>
        </w:pBdr>
      </w:pPr>
      <w:r>
        <w:rPr>
          <w:b/>
          <w:color w:val="1F3A5F"/>
          <w:sz w:val="32"/>
        </w:rPr>
        <w:t>4  Parties intéressées et attentes (clause 4.2)</w:t>
      </w:r>
    </w:p>
    <w:p>
      <w:pPr>
        <w:keepNext/>
        <w:spacing w:before="280" w:after="120"/>
      </w:pPr>
      <w:r>
        <w:rPr>
          <w:b/>
          <w:color w:val="1F3A5F"/>
          <w:sz w:val="26"/>
        </w:rPr>
        <w:t>4.1  Cartographie des parties intéressées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835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Catégorie</w:t>
            </w:r>
          </w:p>
        </w:tc>
        <w:tc>
          <w:tcPr>
            <w:tcW w:type="dxa" w:w="5669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Parties intéressées identifiées</w:t>
            </w:r>
          </w:p>
        </w:tc>
      </w:tr>
      <w:tr>
        <w:tc>
          <w:tcPr>
            <w:tcW w:type="dxa" w:w="2835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Gouvernance interne</w:t>
            </w:r>
          </w:p>
        </w:tc>
        <w:tc>
          <w:tcPr>
            <w:tcW w:type="dxa" w:w="5669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Direction Générale, Conseil d'administration/COMEX, actionnaires</w:t>
            </w:r>
          </w:p>
        </w:tc>
      </w:tr>
      <w:tr>
        <w:tc>
          <w:tcPr>
            <w:tcW w:type="dxa" w:w="2835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Collaborateurs</w:t>
            </w:r>
          </w:p>
        </w:tc>
        <w:tc>
          <w:tcPr>
            <w:tcW w:type="dxa" w:w="5669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Salariés, alternants/stagiaires, intérimaires, prestataires intégrés</w:t>
            </w:r>
          </w:p>
        </w:tc>
      </w:tr>
      <w:tr>
        <w:tc>
          <w:tcPr>
            <w:tcW w:type="dxa" w:w="2835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Représentation personnel</w:t>
            </w:r>
          </w:p>
        </w:tc>
        <w:tc>
          <w:tcPr>
            <w:tcW w:type="dxa" w:w="5669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CSE, organisations syndicales</w:t>
            </w:r>
          </w:p>
        </w:tc>
      </w:tr>
      <w:tr>
        <w:tc>
          <w:tcPr>
            <w:tcW w:type="dxa" w:w="2835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Clients</w:t>
            </w:r>
          </w:p>
        </w:tc>
        <w:tc>
          <w:tcPr>
            <w:tcW w:type="dxa" w:w="5669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Grands comptes, ETI, PME, particuliers (si B2C)</w:t>
            </w:r>
          </w:p>
        </w:tc>
      </w:tr>
      <w:tr>
        <w:tc>
          <w:tcPr>
            <w:tcW w:type="dxa" w:w="2835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Fournisseurs et partenaires</w:t>
            </w:r>
          </w:p>
        </w:tc>
        <w:tc>
          <w:tcPr>
            <w:tcW w:type="dxa" w:w="5669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Sous-traitants critiques, intégrateurs, éditeurs SaaS, hébergeurs</w:t>
            </w:r>
          </w:p>
        </w:tc>
      </w:tr>
      <w:tr>
        <w:tc>
          <w:tcPr>
            <w:tcW w:type="dxa" w:w="2835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Autorités</w:t>
            </w:r>
          </w:p>
        </w:tc>
        <w:tc>
          <w:tcPr>
            <w:tcW w:type="dxa" w:w="5669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ANSSI, CNIL, autorités sectorielles (ACPR, ARS, ARCEP…)</w:t>
            </w:r>
          </w:p>
        </w:tc>
      </w:tr>
      <w:tr>
        <w:tc>
          <w:tcPr>
            <w:tcW w:type="dxa" w:w="2835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Régulateurs</w:t>
            </w:r>
          </w:p>
        </w:tc>
        <w:tc>
          <w:tcPr>
            <w:tcW w:type="dxa" w:w="5669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Union européenne (RGPD, NIS 2, DORA), État français</w:t>
            </w:r>
          </w:p>
        </w:tc>
      </w:tr>
      <w:tr>
        <w:tc>
          <w:tcPr>
            <w:tcW w:type="dxa" w:w="2835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Tiers de confiance</w:t>
            </w:r>
          </w:p>
        </w:tc>
        <w:tc>
          <w:tcPr>
            <w:tcW w:type="dxa" w:w="5669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Auditeurs (ISO, RGPD), assureurs cyber, CERT-FR</w:t>
            </w:r>
          </w:p>
        </w:tc>
      </w:tr>
      <w:tr>
        <w:tc>
          <w:tcPr>
            <w:tcW w:type="dxa" w:w="2835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Société civile</w:t>
            </w:r>
          </w:p>
        </w:tc>
        <w:tc>
          <w:tcPr>
            <w:tcW w:type="dxa" w:w="5669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Médias, ONG cyber, communauté chercheurs sécurité</w:t>
            </w:r>
          </w:p>
        </w:tc>
      </w:tr>
      <w:tr>
        <w:tc>
          <w:tcPr>
            <w:tcW w:type="dxa" w:w="2835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Concurrents</w:t>
            </w:r>
          </w:p>
        </w:tc>
        <w:tc>
          <w:tcPr>
            <w:tcW w:type="dxa" w:w="5669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Concurrents directs (veille comparative, OSINT)</w:t>
            </w:r>
          </w:p>
        </w:tc>
      </w:tr>
    </w:tbl>
    <w:p>
      <w:pPr>
        <w:keepNext/>
        <w:spacing w:before="280" w:after="120"/>
      </w:pPr>
      <w:r>
        <w:rPr>
          <w:b/>
          <w:color w:val="1F3A5F"/>
          <w:sz w:val="26"/>
        </w:rPr>
        <w:t>4.2  Matrice d'analyse pouvoir/intérêt</w:t>
      </w:r>
    </w:p>
    <w:p>
      <w:pPr>
        <w:jc w:val="both"/>
      </w:pPr>
      <w:r>
        <w:rPr>
          <w:b w:val="0"/>
          <w:i w:val="0"/>
          <w:sz w:val="22"/>
        </w:rPr>
        <w:t>Les parties intéressées sont positionnées sur une matrice 2x2 selon leur pouvoir d'influence et leur intérêt à l'égard du SMSI. La stratégie d'engagement est définie en conséquence 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2268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Pouvoir / Intérêt</w:t>
            </w:r>
          </w:p>
        </w:tc>
        <w:tc>
          <w:tcPr>
            <w:tcW w:type="dxa" w:w="3402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Faible intérêt</w:t>
            </w:r>
          </w:p>
        </w:tc>
        <w:tc>
          <w:tcPr>
            <w:tcW w:type="dxa" w:w="3402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Fort intérêt</w:t>
            </w:r>
          </w:p>
        </w:tc>
      </w:tr>
      <w:tr>
        <w:tc>
          <w:tcPr>
            <w:tcW w:type="dxa" w:w="2268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Fort pouvoir</w:t>
            </w:r>
          </w:p>
        </w:tc>
        <w:tc>
          <w:tcPr>
            <w:tcW w:type="dxa" w:w="3402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Satisfaire — Régulateurs, autorités (information périodique)</w:t>
            </w:r>
          </w:p>
        </w:tc>
        <w:tc>
          <w:tcPr>
            <w:tcW w:type="dxa" w:w="3402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Engager étroitement — Direction, grands clients, CNIL, ANSSI</w:t>
            </w:r>
          </w:p>
        </w:tc>
      </w:tr>
      <w:tr>
        <w:tc>
          <w:tcPr>
            <w:tcW w:type="dxa" w:w="2268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Faible pouvoir</w:t>
            </w:r>
          </w:p>
        </w:tc>
        <w:tc>
          <w:tcPr>
            <w:tcW w:type="dxa" w:w="3402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Surveiller — Société civile, concurrents</w:t>
            </w:r>
          </w:p>
        </w:tc>
        <w:tc>
          <w:tcPr>
            <w:tcW w:type="dxa" w:w="3402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Tenir informé — Collaborateurs, CSE, fournisseurs, assureurs</w:t>
            </w:r>
          </w:p>
        </w:tc>
      </w:tr>
    </w:tbl>
    <w:p>
      <w:pPr>
        <w:keepNext/>
        <w:spacing w:before="280" w:after="120"/>
      </w:pPr>
      <w:r>
        <w:rPr>
          <w:b/>
          <w:color w:val="1F3A5F"/>
          <w:sz w:val="26"/>
        </w:rPr>
        <w:t>4.3  Attentes par partie intéressée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1984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Partie intéressée</w:t>
            </w:r>
          </w:p>
        </w:tc>
        <w:tc>
          <w:tcPr>
            <w:tcW w:type="dxa" w:w="3118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Attentes principales</w:t>
            </w:r>
          </w:p>
        </w:tc>
        <w:tc>
          <w:tcPr>
            <w:tcW w:type="dxa" w:w="3402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Réponse SMSI</w:t>
            </w:r>
          </w:p>
        </w:tc>
      </w:tr>
      <w:tr>
        <w:tc>
          <w:tcPr>
            <w:tcW w:type="dxa" w:w="198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Direction Générale</w:t>
            </w:r>
          </w:p>
        </w:tc>
        <w:tc>
          <w:tcPr>
            <w:tcW w:type="dxa" w:w="3118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Maîtrise des risques, ROI sécurité, conformité, image</w:t>
            </w:r>
          </w:p>
        </w:tc>
        <w:tc>
          <w:tcPr>
            <w:tcW w:type="dxa" w:w="3402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Tableau de bord COMEX trimestriel, revue direction annuelle</w:t>
            </w:r>
          </w:p>
        </w:tc>
      </w:tr>
      <w:tr>
        <w:tc>
          <w:tcPr>
            <w:tcW w:type="dxa" w:w="1984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Clients</w:t>
            </w:r>
          </w:p>
        </w:tc>
        <w:tc>
          <w:tcPr>
            <w:tcW w:type="dxa" w:w="3118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Confidentialité de leurs données, SLA, traçabilité</w:t>
            </w:r>
          </w:p>
        </w:tc>
        <w:tc>
          <w:tcPr>
            <w:tcW w:type="dxa" w:w="3402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Certification ISO 27001, DPA, rapport audit, notifications</w:t>
            </w:r>
          </w:p>
        </w:tc>
      </w:tr>
      <w:tr>
        <w:tc>
          <w:tcPr>
            <w:tcW w:type="dxa" w:w="198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Collaborateurs</w:t>
            </w:r>
          </w:p>
        </w:tc>
        <w:tc>
          <w:tcPr>
            <w:tcW w:type="dxa" w:w="3118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Outils sûrs, formation, droit à la déconnexion</w:t>
            </w:r>
          </w:p>
        </w:tc>
        <w:tc>
          <w:tcPr>
            <w:tcW w:type="dxa" w:w="3402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Sensibilisation, charte SI, MFA, support utilisateurs</w:t>
            </w:r>
          </w:p>
        </w:tc>
      </w:tr>
      <w:tr>
        <w:tc>
          <w:tcPr>
            <w:tcW w:type="dxa" w:w="1984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CSE / syndicats</w:t>
            </w:r>
          </w:p>
        </w:tc>
        <w:tc>
          <w:tcPr>
            <w:tcW w:type="dxa" w:w="3118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Information consultation, vie privée au travail</w:t>
            </w:r>
          </w:p>
        </w:tc>
        <w:tc>
          <w:tcPr>
            <w:tcW w:type="dxa" w:w="3402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Charte SI consultée, surveillance proportionnée RGPD</w:t>
            </w:r>
          </w:p>
        </w:tc>
      </w:tr>
      <w:tr>
        <w:tc>
          <w:tcPr>
            <w:tcW w:type="dxa" w:w="198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Fournisseurs</w:t>
            </w:r>
          </w:p>
        </w:tc>
        <w:tc>
          <w:tcPr>
            <w:tcW w:type="dxa" w:w="3118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Critères clairs, transparence, paiement</w:t>
            </w:r>
          </w:p>
        </w:tc>
        <w:tc>
          <w:tcPr>
            <w:tcW w:type="dxa" w:w="3402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Code conduite, DPA, audits planifiés</w:t>
            </w:r>
          </w:p>
        </w:tc>
      </w:tr>
      <w:tr>
        <w:tc>
          <w:tcPr>
            <w:tcW w:type="dxa" w:w="1984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CNIL</w:t>
            </w:r>
          </w:p>
        </w:tc>
        <w:tc>
          <w:tcPr>
            <w:tcW w:type="dxa" w:w="3118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Conformité RGPD, notifications, droits personnes</w:t>
            </w:r>
          </w:p>
        </w:tc>
        <w:tc>
          <w:tcPr>
            <w:tcW w:type="dxa" w:w="3402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Registre traitements, DPO, procédure notification 72h</w:t>
            </w:r>
          </w:p>
        </w:tc>
      </w:tr>
      <w:tr>
        <w:tc>
          <w:tcPr>
            <w:tcW w:type="dxa" w:w="198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ANSSI / CERT-FR</w:t>
            </w:r>
          </w:p>
        </w:tc>
        <w:tc>
          <w:tcPr>
            <w:tcW w:type="dxa" w:w="3118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Signalement incidents NIS 2, coopération</w:t>
            </w:r>
          </w:p>
        </w:tc>
        <w:tc>
          <w:tcPr>
            <w:tcW w:type="dxa" w:w="3402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Procédure incident, MonServiceSécurisé</w:t>
            </w:r>
          </w:p>
        </w:tc>
      </w:tr>
      <w:tr>
        <w:tc>
          <w:tcPr>
            <w:tcW w:type="dxa" w:w="1984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Auditeurs</w:t>
            </w:r>
          </w:p>
        </w:tc>
        <w:tc>
          <w:tcPr>
            <w:tcW w:type="dxa" w:w="3118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Documentation, preuves, traçabilité</w:t>
            </w:r>
          </w:p>
        </w:tc>
        <w:tc>
          <w:tcPr>
            <w:tcW w:type="dxa" w:w="3402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Information documentée SMSI, registre preuves</w:t>
            </w:r>
          </w:p>
        </w:tc>
      </w:tr>
      <w:tr>
        <w:tc>
          <w:tcPr>
            <w:tcW w:type="dxa" w:w="198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Assureurs cyber</w:t>
            </w:r>
          </w:p>
        </w:tc>
        <w:tc>
          <w:tcPr>
            <w:tcW w:type="dxa" w:w="3118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Niveau de maturité, contrôles, formation</w:t>
            </w:r>
          </w:p>
        </w:tc>
        <w:tc>
          <w:tcPr>
            <w:tcW w:type="dxa" w:w="3402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Questionnaire annuel, programme sensibilisation</w:t>
            </w:r>
          </w:p>
        </w:tc>
      </w:tr>
      <w:tr>
        <w:tc>
          <w:tcPr>
            <w:tcW w:type="dxa" w:w="1984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Actionnaires</w:t>
            </w:r>
          </w:p>
        </w:tc>
        <w:tc>
          <w:tcPr>
            <w:tcW w:type="dxa" w:w="3118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Pérennité, valorisation, gouvernance</w:t>
            </w:r>
          </w:p>
        </w:tc>
        <w:tc>
          <w:tcPr>
            <w:tcW w:type="dxa" w:w="3402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Reporting risques, indicateurs résilience</w:t>
            </w:r>
          </w:p>
        </w:tc>
      </w:tr>
    </w:tbl>
    <w:p>
      <w:pPr>
        <w:keepNext/>
        <w:spacing w:before="360" w:after="160"/>
        <w:pBdr>
          <w:bottom w:val="single" w:sz="6" w:color="C9A961"/>
        </w:pBdr>
      </w:pPr>
      <w:r>
        <w:rPr>
          <w:b/>
          <w:color w:val="1F3A5F"/>
          <w:sz w:val="32"/>
        </w:rPr>
        <w:t>5  Exigences applicables et obligations</w:t>
      </w:r>
    </w:p>
    <w:p>
      <w:pPr>
        <w:jc w:val="both"/>
      </w:pPr>
      <w:r>
        <w:rPr>
          <w:b w:val="0"/>
          <w:i w:val="0"/>
          <w:sz w:val="22"/>
        </w:rPr>
        <w:t>Les exigences applicables découlant des parties intéressées sont consignées et suivies dans le Registre des exigences légales et contractuelles (réf. REG-SMSI-EXI-001). Elles couvrent :</w:t>
      </w:r>
    </w:p>
    <w:p>
      <w:pPr>
        <w:pStyle w:val="ListBullet"/>
        <w:ind w:left="283"/>
      </w:pPr>
      <w:r/>
      <w:r>
        <w:rPr>
          <w:sz w:val="22"/>
        </w:rPr>
        <w:t>Exigences légales : RGPD, NIS 2, AI Act, Cyber Resilience Act, LPM, secteur (HDS, PCI-DSS, eIDAS…)</w:t>
      </w:r>
    </w:p>
    <w:p>
      <w:pPr>
        <w:pStyle w:val="ListBullet"/>
        <w:ind w:left="283"/>
      </w:pPr>
      <w:r/>
      <w:r>
        <w:rPr>
          <w:sz w:val="22"/>
        </w:rPr>
        <w:t>Exigences contractuelles : SLA, DPA, clauses de sécurité, audits clients, BCM, notifications</w:t>
      </w:r>
    </w:p>
    <w:p>
      <w:pPr>
        <w:pStyle w:val="ListBullet"/>
        <w:ind w:left="283"/>
      </w:pPr>
      <w:r/>
      <w:r>
        <w:rPr>
          <w:sz w:val="22"/>
        </w:rPr>
        <w:t>Exigences normatives : ISO/IEC 27001:2022, 27017, 27018, 22301 selon contexte</w:t>
      </w:r>
    </w:p>
    <w:p>
      <w:pPr>
        <w:pStyle w:val="ListBullet"/>
        <w:ind w:left="283"/>
      </w:pPr>
      <w:r/>
      <w:r>
        <w:rPr>
          <w:sz w:val="22"/>
        </w:rPr>
        <w:t>Exigences sectorielles : codes de conduite, référentiels CNIL, ANSSI (SecNumCloud), etc.</w:t>
      </w:r>
    </w:p>
    <w:p>
      <w:pPr>
        <w:keepNext/>
        <w:spacing w:before="360" w:after="160"/>
        <w:pBdr>
          <w:bottom w:val="single" w:sz="6" w:color="C9A961"/>
        </w:pBdr>
      </w:pPr>
      <w:r>
        <w:rPr>
          <w:b/>
          <w:color w:val="1F3A5F"/>
          <w:sz w:val="32"/>
        </w:rPr>
        <w:t>6  Synthèse et orientations stratégiques SMSI</w:t>
      </w:r>
    </w:p>
    <w:p>
      <w:pPr>
        <w:jc w:val="both"/>
      </w:pPr>
      <w:r>
        <w:rPr>
          <w:b w:val="0"/>
          <w:i w:val="0"/>
          <w:sz w:val="22"/>
        </w:rPr>
        <w:t>À partir de l'analyse contextuelle, les orientations stratégiques suivantes sont retenues pour le SMSI :</w:t>
      </w:r>
    </w:p>
    <w:p>
      <w:pPr>
        <w:pStyle w:val="ListNumber"/>
      </w:pPr>
      <w:r>
        <w:rPr>
          <w:sz w:val="22"/>
        </w:rPr>
        <w:t>Renforcer la résilience face au ransomware (sauvegarde immutable, EDR/XDR, exercice tabletop annuel)</w:t>
      </w:r>
    </w:p>
    <w:p>
      <w:pPr>
        <w:pStyle w:val="ListNumber"/>
      </w:pPr>
      <w:r>
        <w:rPr>
          <w:sz w:val="22"/>
        </w:rPr>
        <w:t>Sécuriser la transformation cloud (CSPM, IAM unifié, segmentation Zero Trust)</w:t>
      </w:r>
    </w:p>
    <w:p>
      <w:pPr>
        <w:pStyle w:val="ListNumber"/>
      </w:pPr>
      <w:r>
        <w:rPr>
          <w:sz w:val="22"/>
        </w:rPr>
        <w:t>Préparer la conformité NIS 2 et AI Act selon le calendrier réglementaire</w:t>
      </w:r>
    </w:p>
    <w:p>
      <w:pPr>
        <w:pStyle w:val="ListNumber"/>
      </w:pPr>
      <w:r>
        <w:rPr>
          <w:sz w:val="22"/>
        </w:rPr>
        <w:t>Professionnaliser la gouvernance des tiers (programme TPRM, due diligence, audits)</w:t>
      </w:r>
    </w:p>
    <w:p>
      <w:pPr>
        <w:pStyle w:val="ListNumber"/>
      </w:pPr>
      <w:r>
        <w:rPr>
          <w:sz w:val="22"/>
        </w:rPr>
        <w:t>Élever la culture de sécurité (campagne sensibilisation continue, phishing simulé trimestriel)</w:t>
      </w:r>
    </w:p>
    <w:p>
      <w:pPr>
        <w:pStyle w:val="ListNumber"/>
      </w:pPr>
      <w:r>
        <w:rPr>
          <w:sz w:val="22"/>
        </w:rPr>
        <w:t>Maintenir et étendre la certification ISO 27001:2022 (audit annuel, surveillance continue)</w:t>
      </w:r>
    </w:p>
    <w:p>
      <w:pPr>
        <w:keepNext/>
        <w:spacing w:before="360" w:after="160"/>
        <w:pBdr>
          <w:bottom w:val="single" w:sz="6" w:color="C9A961"/>
        </w:pBdr>
      </w:pPr>
      <w:r>
        <w:rPr>
          <w:b/>
          <w:color w:val="1F3A5F"/>
          <w:sz w:val="32"/>
        </w:rPr>
        <w:t>7  Revue et mise à jour</w:t>
      </w:r>
    </w:p>
    <w:p>
      <w:pPr>
        <w:pStyle w:val="ListBullet"/>
        <w:ind w:left="283"/>
      </w:pPr>
      <w:r/>
      <w:r>
        <w:rPr>
          <w:sz w:val="22"/>
        </w:rPr>
        <w:t>Revue annuelle obligatoire en revue de direction (clause 9.3)</w:t>
      </w:r>
    </w:p>
    <w:p>
      <w:pPr>
        <w:pStyle w:val="ListBullet"/>
        <w:ind w:left="283"/>
      </w:pPr>
      <w:r/>
      <w:r>
        <w:rPr>
          <w:sz w:val="22"/>
        </w:rPr>
        <w:t>Revue ponctuelle en cas d'évolution majeure (crise, M&amp;A, nouvelle réglementation, incident critique)</w:t>
      </w:r>
    </w:p>
    <w:p>
      <w:pPr>
        <w:pStyle w:val="ListBullet"/>
        <w:ind w:left="283"/>
      </w:pPr>
      <w:r/>
      <w:r>
        <w:rPr>
          <w:sz w:val="22"/>
        </w:rPr>
        <w:t>Documentation conservée minimum 5 ans (durée de cycle de certification +2 ans)</w:t>
      </w:r>
    </w:p>
    <w:p>
      <w:pPr>
        <w:keepNext/>
        <w:spacing w:before="360" w:after="160"/>
        <w:pBdr>
          <w:bottom w:val="single" w:sz="6" w:color="C9A961"/>
        </w:pBdr>
      </w:pPr>
      <w:r>
        <w:rPr>
          <w:b/>
          <w:color w:val="1F3A5F"/>
          <w:sz w:val="32"/>
        </w:rPr>
        <w:t>8  Validation et signatures</w:t>
      </w:r>
    </w:p>
    <w:p>
      <w:pPr>
        <w:keepNext/>
        <w:spacing w:before="280" w:after="120"/>
      </w:pPr>
      <w:r>
        <w:rPr>
          <w:b/>
          <w:color w:val="1F3A5F"/>
          <w:sz w:val="26"/>
        </w:rPr>
        <w:t>—  Signatures et approbation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fill="1F3A5F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Rédigé par</w:t>
            </w:r>
          </w:p>
        </w:tc>
        <w:tc>
          <w:tcPr>
            <w:tcW w:type="dxa" w:w="3324"/>
            <w:shd w:fill="1F3A5F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Vérifié par</w:t>
            </w:r>
          </w:p>
        </w:tc>
        <w:tc>
          <w:tcPr>
            <w:tcW w:type="dxa" w:w="3324"/>
            <w:shd w:fill="1F3A5F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Approuvé par</w:t>
            </w:r>
          </w:p>
        </w:tc>
      </w:tr>
      <w:tr>
        <w:tc>
          <w:tcPr>
            <w:tcW w:type="dxa" w:w="332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RSSI / Pilote SMSI</w:t>
              <w:br/>
              <w:t>Nom : ____________________</w:t>
              <w:br/>
              <w:t>Date : ____________________</w:t>
              <w:br/>
              <w:t>Signature :</w:t>
            </w:r>
          </w:p>
        </w:tc>
        <w:tc>
          <w:tcPr>
            <w:tcW w:type="dxa" w:w="332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Comité sécurité</w:t>
              <w:br/>
              <w:t>Nom : ____________________</w:t>
              <w:br/>
              <w:t>Date : ____________________</w:t>
              <w:br/>
              <w:t>Signature :</w:t>
            </w:r>
          </w:p>
        </w:tc>
        <w:tc>
          <w:tcPr>
            <w:tcW w:type="dxa" w:w="332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Direction générale</w:t>
              <w:br/>
              <w:t>Nom : ____________________</w:t>
              <w:br/>
              <w:t>Date : ____________________</w:t>
              <w:br/>
              <w:t>Signature :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247" w:right="1134" w:bottom="124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555555"/>
        <w:sz w:val="18"/>
      </w:rPr>
      <w:t xml:space="preserve">Analyse du contexte de l'organisation — ISO/IEC 27001:2022  |  Page </w:t>
    </w:r>
    <w:r>
      <w:fldChar w:fldCharType="begin"/>
      <w:instrText>PAGE</w:instrText>
      <w:fldChar w:fldCharType="end"/>
    </w:r>
    <w:r>
      <w:rPr>
        <w:color w:val="555555"/>
        <w:sz w:val="18"/>
      </w:rPr>
      <w:t xml:space="preserve"> / </w:t>
    </w:r>
    <w:r>
      <w:fldChar w:fldCharType="begin"/>
      <w:instrText>NUMPAGES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/>
    <w:r>
      <w:rPr>
        <w:b/>
        <w:color w:val="1F3A5F"/>
        <w:sz w:val="18"/>
      </w:rPr>
      <w:t>ayinedjimi-consultants.fr</w:t>
    </w:r>
    <w:r>
      <w:rPr>
        <w:i/>
        <w:color w:val="555555"/>
        <w:sz w:val="18"/>
      </w:rPr>
      <w:t xml:space="preserve">  |  ISO/IEC 27001:2022 — Template Gratuit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