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C0392B"/>
          <w:sz w:val="64"/>
        </w:rPr>
        <w:t>CHARTE INFORMATIQUE</w:t>
      </w:r>
    </w:p>
    <w:p>
      <w:pPr>
        <w:jc w:val="center"/>
      </w:pPr>
      <w:r>
        <w:rPr>
          <w:b/>
          <w:color w:val="2C3E50"/>
          <w:sz w:val="36"/>
        </w:rPr>
        <w:t>Modèle TPE / Freelance (1 à 50 salariés)</w:t>
      </w:r>
    </w:p>
    <w:p/>
    <w:p/>
    <w:p>
      <w:pPr>
        <w:jc w:val="center"/>
      </w:pPr>
      <w:r>
        <w:rPr>
          <w:i/>
          <w:color w:val="7F8C8D"/>
          <w:sz w:val="28"/>
        </w:rPr>
        <w:t>Usage des ressources numériques et règles de cybersécurité</w:t>
      </w:r>
    </w:p>
    <w:p/>
    <w:p/>
    <w:tbl>
      <w:tblPr>
        <w:tblStyle w:val="LightGrid-Accent1"/>
        <w:tblW w:type="auto" w:w="0"/>
        <w:jc w:val="center"/>
        <w:tblLook w:firstColumn="1" w:firstRow="1" w:lastColumn="0" w:lastRow="0" w:noHBand="0" w:noVBand="1" w:val="04A0"/>
      </w:tblPr>
      <w:tblGrid>
        <w:gridCol w:w="4986"/>
        <w:gridCol w:w="4986"/>
      </w:tblGrid>
      <w:tr>
        <w:tc>
          <w:tcPr>
            <w:tcW w:type="dxa" w:w="4986"/>
          </w:tcPr>
          <w:p>
            <w:r>
              <w:rPr>
                <w:b/>
              </w:rPr>
              <w:t>Raison sociale</w:t>
            </w:r>
          </w:p>
        </w:tc>
        <w:tc>
          <w:tcPr>
            <w:tcW w:type="dxa" w:w="4986"/>
          </w:tcPr>
          <w:p>
            <w:r>
              <w:t>[Nom de l'entreprise]</w:t>
            </w:r>
          </w:p>
        </w:tc>
      </w:tr>
      <w:tr>
        <w:tc>
          <w:tcPr>
            <w:tcW w:type="dxa" w:w="4986"/>
          </w:tcPr>
          <w:p>
            <w:r>
              <w:rPr>
                <w:b/>
              </w:rPr>
              <w:t>SIREN / SIRET</w:t>
            </w:r>
          </w:p>
        </w:tc>
        <w:tc>
          <w:tcPr>
            <w:tcW w:type="dxa" w:w="4986"/>
          </w:tcPr>
          <w:p>
            <w:r>
              <w:t>[N° SIREN]</w:t>
            </w:r>
          </w:p>
        </w:tc>
      </w:tr>
      <w:tr>
        <w:tc>
          <w:tcPr>
            <w:tcW w:type="dxa" w:w="4986"/>
          </w:tcPr>
          <w:p>
            <w:r>
              <w:rPr>
                <w:b/>
              </w:rPr>
              <w:t>Adresse du siège</w:t>
            </w:r>
          </w:p>
        </w:tc>
        <w:tc>
          <w:tcPr>
            <w:tcW w:type="dxa" w:w="4986"/>
          </w:tcPr>
          <w:p>
            <w:r>
              <w:t>[Adresse]</w:t>
            </w:r>
          </w:p>
        </w:tc>
      </w:tr>
      <w:tr>
        <w:tc>
          <w:tcPr>
            <w:tcW w:type="dxa" w:w="4986"/>
          </w:tcPr>
          <w:p>
            <w:r>
              <w:rPr>
                <w:b/>
              </w:rPr>
              <w:t>Effectifs concernés</w:t>
            </w:r>
          </w:p>
        </w:tc>
        <w:tc>
          <w:tcPr>
            <w:tcW w:type="dxa" w:w="4986"/>
          </w:tcPr>
          <w:p>
            <w:r>
              <w:t>1 à 50 salariés (TPE, micro-entreprise, freelance indépendant)</w:t>
            </w:r>
          </w:p>
        </w:tc>
      </w:tr>
      <w:tr>
        <w:tc>
          <w:tcPr>
            <w:tcW w:type="dxa" w:w="4986"/>
          </w:tcPr>
          <w:p>
            <w:r>
              <w:rPr>
                <w:b/>
              </w:rPr>
              <w:t>Version</w:t>
            </w:r>
          </w:p>
        </w:tc>
        <w:tc>
          <w:tcPr>
            <w:tcW w:type="dxa" w:w="4986"/>
          </w:tcPr>
          <w:p>
            <w:r>
              <w:t>1.0</w:t>
            </w:r>
          </w:p>
        </w:tc>
      </w:tr>
      <w:tr>
        <w:tc>
          <w:tcPr>
            <w:tcW w:type="dxa" w:w="4986"/>
          </w:tcPr>
          <w:p>
            <w:r>
              <w:rPr>
                <w:b/>
              </w:rPr>
              <w:t>Date d'entrée en vigueur</w:t>
            </w:r>
          </w:p>
        </w:tc>
        <w:tc>
          <w:tcPr>
            <w:tcW w:type="dxa" w:w="4986"/>
          </w:tcPr>
          <w:p>
            <w:r>
              <w:t>[JJ/MM/2026]</w:t>
            </w:r>
          </w:p>
        </w:tc>
      </w:tr>
    </w:tbl>
    <w:p/>
    <w:p/>
    <w:p>
      <w:pPr>
        <w:jc w:val="center"/>
      </w:pPr>
      <w:r>
        <w:rPr>
          <w:b/>
          <w:color w:val="C0392B"/>
          <w:sz w:val="22"/>
        </w:rPr>
        <w:t>Document à valeur contractuelle — Annexé au contrat de travail</w:t>
      </w:r>
    </w:p>
    <w:p>
      <w:r>
        <w:br w:type="page"/>
      </w:r>
    </w:p>
    <w:p>
      <w:pPr>
        <w:pStyle w:val="Heading1"/>
      </w:pPr>
      <w:r>
        <w:rPr>
          <w:color w:val="C0392B"/>
        </w:rPr>
        <w:t>PRÉAMBULE</w:t>
      </w:r>
    </w:p>
    <w:p>
      <w:r>
        <w:rPr>
          <w:b w:val="0"/>
          <w:i w:val="0"/>
          <w:sz w:val="22"/>
        </w:rPr>
        <w:t>La présente Charte Informatique (ci-après « la Charte ») a pour objet de définir les règles d'utilisation des ressources informatiques, des systèmes d'information et des services numériques mis à disposition par l'Entreprise (ci-après « l'Entreprise »). Elle s'applique à l'ensemble des utilisateurs : le dirigeant, les salariés (le cas échéant), les stagiaires, alternants et freelances/prestataires intervenant pour l'Entreprise.</w:t>
      </w:r>
    </w:p>
    <w:p>
      <w:r>
        <w:rPr>
          <w:b w:val="0"/>
          <w:i w:val="0"/>
          <w:sz w:val="22"/>
        </w:rPr>
        <w:t>Elle vise à garantir la sécurité du système d'information, la protection des données (notamment à caractère personnel au sens du RGPD), la continuité des activités et le respect des obligations légales et réglementaires applicables, parmi lesquelles : Règlement (UE) 2016/679 (RGPD), Directive (UE) 2022/2555 (NIS 2), Loi n° 2025-391 du 30 avril 2025 « Résilience » transposant NIS 2, référentiel ReCyF ANSSI 2026, articles L.1121-1 et L.1222-4 du Code du travail.</w:t>
      </w:r>
    </w:p>
    <w:p>
      <w:r>
        <w:rPr>
          <w:b w:val="0"/>
          <w:i/>
          <w:sz w:val="22"/>
        </w:rPr>
        <w:t>La Charte a une valeur contractuelle : elle est annexée au règlement intérieur et au contrat de travail. Son non-respect peut donner lieu à des sanctions disciplinaires graduées conformément au règlement intérieur.</w:t>
      </w:r>
    </w:p>
    <w:p>
      <w:r>
        <w:rPr>
          <w:b w:val="0"/>
          <w:i w:val="0"/>
          <w:sz w:val="22"/>
        </w:rPr>
      </w:r>
    </w:p>
    <w:p>
      <w:r>
        <w:rPr>
          <w:i/>
          <w:color w:val="7F8C8D"/>
        </w:rPr>
        <w:t>[À COMPLÉTER : Personnaliser le préambule (mission, valeurs, secteur d'activité)]</w:t>
      </w:r>
    </w:p>
    <w:p>
      <w:pPr>
        <w:pStyle w:val="Heading1"/>
      </w:pPr>
      <w:r>
        <w:rPr>
          <w:color w:val="C0392B"/>
        </w:rPr>
        <w:t>1. CHAMP D'APPLICATION</w:t>
      </w:r>
    </w:p>
    <w:p>
      <w:r>
        <w:rPr>
          <w:b/>
          <w:i w:val="0"/>
          <w:sz w:val="22"/>
        </w:rPr>
        <w:t>1.1 Personnes concernées</w:t>
      </w:r>
    </w:p>
    <w:p>
      <w:r>
        <w:rPr>
          <w:b w:val="0"/>
          <w:i w:val="0"/>
          <w:sz w:val="22"/>
        </w:rPr>
        <w:t>La présente Charte s'applique à toute personne utilisant les ressources informatiques de l'Entreprise : le dirigeant, les salariés (le cas échéant), les stagiaires, alternants et freelances/prestataires intervenant pour l'Entreprise. Elle s'applique également aux personnes accédant ponctuellement aux systèmes d'information (visiteurs, auditeurs, mainteneurs).</w:t>
      </w:r>
    </w:p>
    <w:p>
      <w:r>
        <w:rPr>
          <w:b/>
          <w:i w:val="0"/>
          <w:sz w:val="22"/>
        </w:rPr>
        <w:t>1.2 Ressources concernées</w:t>
      </w:r>
    </w:p>
    <w:p>
      <w:pPr>
        <w:pStyle w:val="ListBullet"/>
      </w:pPr>
      <w:r>
        <w:t>Postes de travail fixes et mobiles, téléphones professionnels, tablettes</w:t>
      </w:r>
    </w:p>
    <w:p>
      <w:pPr>
        <w:pStyle w:val="ListBullet"/>
      </w:pPr>
      <w:r>
        <w:t>Réseau local, accès Internet, VPN, Wi-Fi</w:t>
      </w:r>
    </w:p>
    <w:p>
      <w:pPr>
        <w:pStyle w:val="ListBullet"/>
      </w:pPr>
      <w:r>
        <w:t>Messageries professionnelles, agendas partagés, visioconférence</w:t>
      </w:r>
    </w:p>
    <w:p>
      <w:pPr>
        <w:pStyle w:val="ListBullet"/>
      </w:pPr>
      <w:r>
        <w:t>Applications métier, ERP, CRM, outils SaaS</w:t>
      </w:r>
    </w:p>
    <w:p>
      <w:pPr>
        <w:pStyle w:val="ListBullet"/>
      </w:pPr>
      <w:r>
        <w:t>Espaces de stockage (disques locaux, NAS, cloud)</w:t>
      </w:r>
    </w:p>
    <w:p>
      <w:pPr>
        <w:pStyle w:val="ListBullet"/>
      </w:pPr>
      <w:r>
        <w:t>Identifiants, mots de passe, badges, tokens d'authentification</w:t>
      </w:r>
    </w:p>
    <w:p>
      <w:pPr>
        <w:pStyle w:val="ListBullet"/>
      </w:pPr>
      <w:r>
        <w:t>Données traitées ou stockées sur ces ressources</w:t>
      </w:r>
    </w:p>
    <w:p>
      <w:pPr>
        <w:pStyle w:val="Heading1"/>
      </w:pPr>
      <w:r>
        <w:rPr>
          <w:color w:val="C0392B"/>
        </w:rPr>
        <w:t>2. RÈGLES D'UTILISATION DES RESSOURCES</w:t>
      </w:r>
    </w:p>
    <w:p>
      <w:r>
        <w:rPr>
          <w:b/>
          <w:i w:val="0"/>
          <w:sz w:val="22"/>
        </w:rPr>
        <w:t>2.1 Usage professionnel et tolérance d'usage personnel</w:t>
      </w:r>
    </w:p>
    <w:p>
      <w:r>
        <w:rPr>
          <w:b w:val="0"/>
          <w:i w:val="0"/>
          <w:sz w:val="22"/>
        </w:rPr>
        <w:t>Les ressources informatiques sont destinées à un usage exclusivement professionnel. Conformément à la jurisprudence de la Cour de cassation (Cass. soc., 2 oct. 2001, Nikon), un usage personnel raisonnable et occasionnel est toléré, sous réserve : (i) qu'il n'affecte pas la productivité, (ii) qu'il ne compromette pas la sécurité du SI, (iii) qu'il respecte les bonnes mœurs et les lois en vigueur.</w:t>
      </w:r>
    </w:p>
    <w:p>
      <w:r>
        <w:rPr>
          <w:b/>
          <w:i w:val="0"/>
          <w:sz w:val="22"/>
        </w:rPr>
        <w:t>2.2 Usages strictement interdits</w:t>
      </w:r>
    </w:p>
    <w:p>
      <w:pPr>
        <w:pStyle w:val="ListBullet"/>
      </w:pPr>
      <w:r>
        <w:t>Téléchargement ou diffusion d'œuvres protégées par le droit d'auteur (musique, films, logiciels)</w:t>
      </w:r>
    </w:p>
    <w:p>
      <w:pPr>
        <w:pStyle w:val="ListBullet"/>
      </w:pPr>
      <w:r>
        <w:t>Consultation ou diffusion de contenus illicites (pornographie, incitation à la haine, etc.)</w:t>
      </w:r>
    </w:p>
    <w:p>
      <w:pPr>
        <w:pStyle w:val="ListBullet"/>
      </w:pPr>
      <w:r>
        <w:t>Installation de logiciels non autorisés par la DSI (y compris freewares)</w:t>
      </w:r>
    </w:p>
    <w:p>
      <w:pPr>
        <w:pStyle w:val="ListBullet"/>
      </w:pPr>
      <w:r>
        <w:t>Utilisation à des fins de concurrence déloyale ou de détournement de clientèle</w:t>
      </w:r>
    </w:p>
    <w:p>
      <w:pPr>
        <w:pStyle w:val="ListBullet"/>
      </w:pPr>
      <w:r>
        <w:t>Cryptominage, hébergement de services personnels, jeux en ligne intensifs</w:t>
      </w:r>
    </w:p>
    <w:p>
      <w:pPr>
        <w:pStyle w:val="ListBullet"/>
      </w:pPr>
      <w:r>
        <w:t>Contournement des dispositifs de sécurité (proxy, VPN personnels, désactivation de l'antivirus)</w:t>
      </w:r>
    </w:p>
    <w:p>
      <w:pPr>
        <w:pStyle w:val="ListBullet"/>
      </w:pPr>
      <w:r>
        <w:t>Connexion d'équipements personnels (BYOD) sans autorisation préalable</w:t>
      </w:r>
    </w:p>
    <w:p>
      <w:pPr>
        <w:pStyle w:val="Heading1"/>
      </w:pPr>
      <w:r>
        <w:rPr>
          <w:color w:val="C0392B"/>
        </w:rPr>
        <w:t>3. SÉCURITÉ DES MOTS DE PASSE ET AUTHENTIFICATION</w:t>
      </w:r>
    </w:p>
    <w:p>
      <w:r>
        <w:rPr>
          <w:b w:val="0"/>
          <w:i w:val="0"/>
          <w:sz w:val="22"/>
        </w:rPr>
        <w:t>Les mots de passe sont strictement personnels et confidentiels. Ils ne doivent jamais être partagés, communiqués (y compris à un supérieur hiérarchique), inscrits sur support visible ou stockés en clair.</w:t>
      </w:r>
    </w:p>
    <w:p>
      <w:r>
        <w:rPr>
          <w:b/>
          <w:i w:val="0"/>
          <w:sz w:val="22"/>
        </w:rPr>
        <w:t>Règles minimales (conformes ANSSI 2026) :</w:t>
      </w:r>
    </w:p>
    <w:p>
      <w:pPr>
        <w:pStyle w:val="ListBullet"/>
      </w:pPr>
      <w:r>
        <w:t>Longueur minimale : 12 caractères (recommandé)</w:t>
      </w:r>
    </w:p>
    <w:p>
      <w:pPr>
        <w:pStyle w:val="ListBullet"/>
      </w:pPr>
      <w:r>
        <w:t>Complexité : majuscules + minuscules + chiffres + caractères spéciaux</w:t>
      </w:r>
    </w:p>
    <w:p>
      <w:pPr>
        <w:pStyle w:val="ListBullet"/>
      </w:pPr>
      <w:r>
        <w:t>Renouvellement : uniquement en cas de suspicion de compromission (NIST SP 800-63B révisé)</w:t>
      </w:r>
    </w:p>
    <w:p>
      <w:pPr>
        <w:pStyle w:val="ListBullet"/>
      </w:pPr>
      <w:r>
        <w:t>Authentification multifacteur (MFA) obligatoire pour : messagerie, VPN, accès admin, outils SaaS critiques</w:t>
      </w:r>
    </w:p>
    <w:p>
      <w:pPr>
        <w:pStyle w:val="ListBullet"/>
      </w:pPr>
      <w:r>
        <w:t>Coffre-fort de mots de passe d'entreprise : Bitwarden gratuit ou KeePass (open source, gratuit)</w:t>
      </w:r>
    </w:p>
    <w:p>
      <w:pPr>
        <w:pStyle w:val="ListBullet"/>
      </w:pPr>
      <w:r>
        <w:t>Interdiction de réutiliser un mot de passe professionnel sur un service personnel</w:t>
      </w:r>
    </w:p>
    <w:p>
      <w:pPr>
        <w:pStyle w:val="Heading1"/>
      </w:pPr>
      <w:r>
        <w:rPr>
          <w:color w:val="C0392B"/>
        </w:rPr>
        <w:t>4. MESSAGERIE ÉLECTRONIQUE ET LUTTE CONTRE LE PHISHING</w:t>
      </w:r>
    </w:p>
    <w:p>
      <w:r>
        <w:rPr>
          <w:b/>
          <w:i w:val="0"/>
          <w:sz w:val="22"/>
        </w:rPr>
        <w:t>4.1 Bon usage</w:t>
      </w:r>
    </w:p>
    <w:p>
      <w:pPr>
        <w:pStyle w:val="ListBullet"/>
      </w:pPr>
      <w:r>
        <w:t>La signature électronique professionnelle est obligatoire</w:t>
      </w:r>
    </w:p>
    <w:p>
      <w:pPr>
        <w:pStyle w:val="ListBullet"/>
      </w:pPr>
      <w:r>
        <w:t>Les pièces jointes lourdes doivent être partagées via les outils collaboratifs internes</w:t>
      </w:r>
    </w:p>
    <w:p>
      <w:pPr>
        <w:pStyle w:val="ListBullet"/>
      </w:pPr>
      <w:r>
        <w:t>L'envoi de données à caractère personnel par email non chiffré est interdit</w:t>
      </w:r>
    </w:p>
    <w:p>
      <w:pPr>
        <w:pStyle w:val="ListBullet"/>
      </w:pPr>
      <w:r>
        <w:t>Les listes de diffusion massives nécessitent l'accord de la hiérarchie</w:t>
      </w:r>
    </w:p>
    <w:p>
      <w:r>
        <w:rPr>
          <w:b/>
          <w:i w:val="0"/>
          <w:sz w:val="22"/>
        </w:rPr>
        <w:t>4.2 Vigilance phishing / spear-phishing / BEC</w:t>
      </w:r>
    </w:p>
    <w:p>
      <w:r>
        <w:rPr>
          <w:b w:val="0"/>
          <w:i w:val="0"/>
          <w:sz w:val="22"/>
        </w:rPr>
        <w:t>L'utilisateur s'engage à signaler immédiatement tout message suspect via le bouton « Signaler » intégré au client de messagerie, ou par email à l'adresse dédiée. Aucune sanction ne sera appliquée en cas de signalement de bonne foi, y compris en cas de clic accidentel.</w:t>
      </w:r>
    </w:p>
    <w:p>
      <w:pPr>
        <w:pStyle w:val="Heading1"/>
      </w:pPr>
      <w:r>
        <w:rPr>
          <w:color w:val="C0392B"/>
        </w:rPr>
        <w:t>5. UTILISATION D'INTERNET ET DES RÉSEAUX SOCIAUX</w:t>
      </w:r>
    </w:p>
    <w:p>
      <w:r>
        <w:rPr>
          <w:b w:val="0"/>
          <w:i w:val="0"/>
          <w:sz w:val="22"/>
        </w:rPr>
        <w:t>L'accès à Internet est filtré par un système de proxy/firewall qui bloque les catégories de sites identifiées comme dangereuses ou non professionnelles. L'utilisateur ne doit pas tenter de contourner ce filtrage.</w:t>
      </w:r>
    </w:p>
    <w:p>
      <w:r>
        <w:rPr>
          <w:b/>
          <w:i w:val="0"/>
          <w:sz w:val="22"/>
        </w:rPr>
        <w:t>Réseaux sociaux : règles de loyauté</w:t>
      </w:r>
    </w:p>
    <w:p>
      <w:pPr>
        <w:pStyle w:val="ListBullet"/>
      </w:pPr>
      <w:r>
        <w:t>Toute communication publique mentionnant l'Entreprise doit respecter l'obligation de loyauté (art. L.1222-1 Code du travail)</w:t>
      </w:r>
    </w:p>
    <w:p>
      <w:pPr>
        <w:pStyle w:val="ListBullet"/>
      </w:pPr>
      <w:r>
        <w:t>Divulgation d'informations confidentielles, financières, RH, clients : strictement interdite</w:t>
      </w:r>
    </w:p>
    <w:p>
      <w:pPr>
        <w:pStyle w:val="ListBullet"/>
      </w:pPr>
      <w:r>
        <w:t>Les avis dénigrants peuvent caractériser une faute (Cass. soc. 12/09/2018, n° 16-11.690)</w:t>
      </w:r>
    </w:p>
    <w:p>
      <w:pPr>
        <w:pStyle w:val="ListBullet"/>
      </w:pPr>
      <w:r>
        <w:t>L'usage des comptes professionnels (LinkedIn corporate) doit être validé par la communication</w:t>
      </w:r>
    </w:p>
    <w:p>
      <w:pPr>
        <w:pStyle w:val="Heading1"/>
      </w:pPr>
      <w:r>
        <w:rPr>
          <w:color w:val="C0392B"/>
        </w:rPr>
        <w:t>6. TÉLÉTRAVAIL ET MOBILITÉ</w:t>
      </w:r>
    </w:p>
    <w:p>
      <w:r>
        <w:rPr>
          <w:b/>
          <w:i w:val="0"/>
          <w:sz w:val="22"/>
        </w:rPr>
        <w:t>6.1 Connexion à distance</w:t>
      </w:r>
    </w:p>
    <w:p>
      <w:pPr>
        <w:pStyle w:val="ListBullet"/>
      </w:pPr>
      <w:r>
        <w:t>Utilisation obligatoire du VPN d'entreprise pour tout accès distant aux ressources internes</w:t>
      </w:r>
    </w:p>
    <w:p>
      <w:pPr>
        <w:pStyle w:val="ListBullet"/>
      </w:pPr>
      <w:r>
        <w:t>Interdiction de se connecter via des réseaux Wi-Fi publics non sécurisés (gare, hôtel, café) sans VPN</w:t>
      </w:r>
    </w:p>
    <w:p>
      <w:pPr>
        <w:pStyle w:val="ListBullet"/>
      </w:pPr>
      <w:r>
        <w:t>Verrouillage de session systématique en cas d'éloignement du poste</w:t>
      </w:r>
    </w:p>
    <w:p>
      <w:r>
        <w:rPr>
          <w:b/>
          <w:i w:val="0"/>
          <w:sz w:val="22"/>
        </w:rPr>
        <w:t>6.2 Confidentialité en lieu public</w:t>
      </w:r>
    </w:p>
    <w:p>
      <w:pPr>
        <w:pStyle w:val="ListBullet"/>
      </w:pPr>
      <w:r>
        <w:t>Filtre de confidentialité écran obligatoire pour les déplacements (train, avion, open-space client)</w:t>
      </w:r>
    </w:p>
    <w:p>
      <w:pPr>
        <w:pStyle w:val="ListBullet"/>
      </w:pPr>
      <w:r>
        <w:t>Communications téléphoniques confidentielles : interdites dans les lieux publics</w:t>
      </w:r>
    </w:p>
    <w:p>
      <w:pPr>
        <w:pStyle w:val="ListBullet"/>
      </w:pPr>
      <w:r>
        <w:t>Ne jamais laisser un équipement professionnel sans surveillance dans un véhicule</w:t>
      </w:r>
    </w:p>
    <w:p>
      <w:pPr>
        <w:pStyle w:val="Heading1"/>
      </w:pPr>
      <w:r>
        <w:rPr>
          <w:color w:val="C0392B"/>
        </w:rPr>
        <w:t>7. BYOD — UTILISATION D'ÉQUIPEMENTS PERSONNELS</w:t>
      </w:r>
    </w:p>
    <w:p>
      <w:r>
        <w:rPr>
          <w:b w:val="0"/>
          <w:i w:val="0"/>
          <w:sz w:val="22"/>
        </w:rPr>
        <w:t>Le BYOD est toléré pour les TPE et freelances sous réserve de : (i) installation d'un antivirus à jour, (ii) chiffrement du disque dur (BitLocker, FileVault), (iii) verrouillage automatique de session, (iv) sauvegarde chiffrée hebdomadaire. Le gérant/dirigeant assume directement la responsabilité de cette validation à défaut de DSI dédiée.</w:t>
      </w:r>
    </w:p>
    <w:p>
      <w:pPr>
        <w:pStyle w:val="Heading1"/>
      </w:pPr>
      <w:r>
        <w:rPr>
          <w:color w:val="C0392B"/>
        </w:rPr>
        <w:t>8. PROTECTION DES DONNÉES PERSONNELLES (RGPD)</w:t>
      </w:r>
    </w:p>
    <w:p>
      <w:r>
        <w:rPr>
          <w:b w:val="0"/>
          <w:i w:val="0"/>
          <w:sz w:val="22"/>
        </w:rPr>
        <w:t>Tout traitement de données à caractère personnel doit respecter le RGPD et la loi Informatique et Libertés modifiée. L'utilisateur s'engage à :</w:t>
      </w:r>
    </w:p>
    <w:p>
      <w:pPr>
        <w:pStyle w:val="ListBullet"/>
      </w:pPr>
      <w:r>
        <w:t>Ne collecter que les données strictement nécessaires (principe de minimisation)</w:t>
      </w:r>
    </w:p>
    <w:p>
      <w:pPr>
        <w:pStyle w:val="ListBullet"/>
      </w:pPr>
      <w:r>
        <w:t>Ne pas exporter de bases de données clients/RH sans autorisation explicite</w:t>
      </w:r>
    </w:p>
    <w:p>
      <w:pPr>
        <w:pStyle w:val="ListBullet"/>
      </w:pPr>
      <w:r>
        <w:t>Signaler toute violation de données (data breach) dans les 24h au DPO/responsable sécurité</w:t>
      </w:r>
    </w:p>
    <w:p>
      <w:pPr>
        <w:pStyle w:val="ListBullet"/>
      </w:pPr>
      <w:r>
        <w:t>Respecter les durées de conservation définies par le registre des traitements</w:t>
      </w:r>
    </w:p>
    <w:p>
      <w:pPr>
        <w:pStyle w:val="ListBullet"/>
      </w:pPr>
      <w:r>
        <w:t>Chiffrer tout export de données personnelles (clé USB, email, partage cloud)</w:t>
      </w:r>
    </w:p>
    <w:p>
      <w:r>
        <w:rPr>
          <w:b/>
          <w:i w:val="0"/>
          <w:sz w:val="22"/>
        </w:rPr>
        <w:t>Contact DPO / responsable de traitement : [Nom du dirigeant ou référent RGPD désigné — TPE &lt; 250 salariés non tenue de désigner un DPO sauf traitement à risque]</w:t>
      </w:r>
    </w:p>
    <w:p>
      <w:pPr>
        <w:pStyle w:val="Heading1"/>
      </w:pPr>
      <w:r>
        <w:rPr>
          <w:color w:val="C0392B"/>
        </w:rPr>
        <w:t>9. UTILISATION DE L'INTELLIGENCE ARTIFICIELLE GÉNÉRATIVE</w:t>
      </w:r>
    </w:p>
    <w:p>
      <w:r>
        <w:rPr>
          <w:b w:val="0"/>
          <w:i w:val="0"/>
          <w:sz w:val="22"/>
        </w:rPr>
        <w:t>L'usage des outils d'IA générative (ChatGPT, Claude, Gemini, Copilot, Mistral, etc.) est encadré afin d'éviter les fuites de données, la dépendance technologique et les risques juridiques liés à l'AI Act (Règlement UE 2024/1689).</w:t>
      </w:r>
    </w:p>
    <w:p>
      <w:r>
        <w:rPr>
          <w:b/>
          <w:i w:val="0"/>
          <w:sz w:val="22"/>
        </w:rPr>
        <w:t>Règles fondamentales :</w:t>
      </w:r>
    </w:p>
    <w:p>
      <w:pPr>
        <w:pStyle w:val="ListBullet"/>
      </w:pPr>
      <w:r>
        <w:t>Interdiction absolue de soumettre à une IA publique : données clients nominatives, secrets d'affaires, code source propriétaire, données financières non publiques, données RH/médicales</w:t>
      </w:r>
    </w:p>
    <w:p>
      <w:pPr>
        <w:pStyle w:val="ListBullet"/>
      </w:pPr>
      <w:r>
        <w:t>Privilégier les versions Entreprise contractualisées (ChatGPT Enterprise, Copilot for Business, Mistral Le Chat Pro) qui garantissent la non-réutilisation des prompts pour l'entraînement</w:t>
      </w:r>
    </w:p>
    <w:p>
      <w:pPr>
        <w:pStyle w:val="ListBullet"/>
      </w:pPr>
      <w:r>
        <w:t>Vérifier systématiquement les sorties IA : hallucinations factuelles, biais, plagiat involontaire</w:t>
      </w:r>
    </w:p>
    <w:p>
      <w:pPr>
        <w:pStyle w:val="ListBullet"/>
      </w:pPr>
      <w:r>
        <w:t>Mentionner l'usage de l'IA dans tout livrable client lorsque cela influe sur la décision</w:t>
      </w:r>
    </w:p>
    <w:p>
      <w:pPr>
        <w:pStyle w:val="ListBullet"/>
      </w:pPr>
      <w:r>
        <w:t>Conserver une trace des prompts utilisés pour les usages critiques (audit, juridique)</w:t>
      </w:r>
    </w:p>
    <w:p>
      <w:r>
        <w:rPr>
          <w:b w:val="0"/>
          <w:i/>
          <w:sz w:val="22"/>
        </w:rPr>
        <w:t>Pour les TPE et freelances : privilégier les outils IA gratuits ou abordables (ChatGPT, Claude, Mistral Le Chat) avec compte personnel/professionnel **distinct des comptes clients**. Ne jamais soumettre les données client à une IA sans accord écrit dudit client.</w:t>
      </w:r>
    </w:p>
    <w:p>
      <w:pPr>
        <w:pStyle w:val="Heading1"/>
      </w:pPr>
      <w:r>
        <w:rPr>
          <w:color w:val="C0392B"/>
        </w:rPr>
        <w:t>10. DÉPART DU SALARIÉ ET RESTITUTION</w:t>
      </w:r>
    </w:p>
    <w:p>
      <w:pPr>
        <w:pStyle w:val="ListBullet"/>
      </w:pPr>
      <w:r>
        <w:t>Restitution de tout matériel professionnel (PC, smartphone, badges, clés, tokens MFA)</w:t>
      </w:r>
    </w:p>
    <w:p>
      <w:pPr>
        <w:pStyle w:val="ListBullet"/>
      </w:pPr>
      <w:r>
        <w:t>Suppression de tout fichier professionnel des supports personnels</w:t>
      </w:r>
    </w:p>
    <w:p>
      <w:pPr>
        <w:pStyle w:val="ListBullet"/>
      </w:pPr>
      <w:r>
        <w:t>Désactivation immédiate des accès (comptes, VPN, MFA, SaaS) à l'initiative de la DSI</w:t>
      </w:r>
    </w:p>
    <w:p>
      <w:pPr>
        <w:pStyle w:val="ListBullet"/>
      </w:pPr>
      <w:r>
        <w:t>Sauvegarde et transmission des fichiers professionnels en cours selon procédure d'archivage</w:t>
      </w:r>
    </w:p>
    <w:p>
      <w:pPr>
        <w:pStyle w:val="ListBullet"/>
      </w:pPr>
      <w:r>
        <w:t>Maintien des obligations de confidentialité au-delà du contrat (clause de confidentialité)</w:t>
      </w:r>
    </w:p>
    <w:p>
      <w:pPr>
        <w:pStyle w:val="Heading1"/>
      </w:pPr>
      <w:r>
        <w:rPr>
          <w:color w:val="C0392B"/>
        </w:rPr>
        <w:t>11. CONTRÔLE, JOURNALISATION ET CYBERSURVEILLANCE</w:t>
      </w:r>
    </w:p>
    <w:p>
      <w:r>
        <w:rPr>
          <w:b w:val="0"/>
          <w:i w:val="0"/>
          <w:sz w:val="22"/>
        </w:rPr>
        <w:t>Conformément à la jurisprudence (Cass. soc. 17 mai 2005, Cathnet ; CNIL délibération 2019-104), les flux et journaux du système d'information font l'objet d'une surveillance proportionnée :</w:t>
      </w:r>
    </w:p>
    <w:p>
      <w:pPr>
        <w:pStyle w:val="ListBullet"/>
      </w:pPr>
      <w:r>
        <w:t>Journalisation des accès, connexions, actions admin (durée conservation : 1 an, conforme délibération CNIL)</w:t>
      </w:r>
    </w:p>
    <w:p>
      <w:pPr>
        <w:pStyle w:val="ListBullet"/>
      </w:pPr>
      <w:r>
        <w:t>Filtrage URL et inspection des flux pour détection de menaces (EDR/XDR)</w:t>
      </w:r>
    </w:p>
    <w:p>
      <w:pPr>
        <w:pStyle w:val="ListBullet"/>
      </w:pPr>
      <w:r>
        <w:t>Possibilité de contrôle individuel après information préalable (sauf urgence sécurité grave)</w:t>
      </w:r>
    </w:p>
    <w:p>
      <w:pPr>
        <w:pStyle w:val="ListBullet"/>
      </w:pPr>
      <w:r>
        <w:t>Information du CSE/représentants du personnel sur les outils de surveillance (art. L.2312-38 Code du travail)</w:t>
      </w:r>
    </w:p>
    <w:p>
      <w:pPr>
        <w:pStyle w:val="ListBullet"/>
      </w:pPr>
      <w:r>
        <w:t>Les fichiers identifiés comme « personnels » par l'utilisateur (dossier « privé ») ne peuvent être ouverts qu'en sa présence ou avec autorisation judiciaire</w:t>
      </w:r>
    </w:p>
    <w:p>
      <w:r>
        <w:rPr>
          <w:b w:val="0"/>
          <w:i/>
          <w:sz w:val="22"/>
        </w:rPr>
        <w:t>Dans une TPE, la cybersurveillance est généralement assurée par le dirigeant ou un prestataire externe. Les contrôles éventuels sont strictement proportionnés et justifiés par une suspicion d'usage abusif manifeste. L'information préalable des salariés reste une obligation légale même en TPE.</w:t>
      </w:r>
    </w:p>
    <w:p>
      <w:pPr>
        <w:pStyle w:val="Heading1"/>
      </w:pPr>
      <w:r>
        <w:rPr>
          <w:color w:val="C0392B"/>
        </w:rPr>
        <w:t>12. RESPONSABILITÉS ET SANCTIONS</w:t>
      </w:r>
    </w:p>
    <w:p>
      <w:r>
        <w:rPr>
          <w:b w:val="0"/>
          <w:i w:val="0"/>
          <w:sz w:val="22"/>
        </w:rPr>
        <w:t>Le non-respect de la présente Charte expose l'utilisateur à des sanctions disciplinaires proportionnées à la gravité du manquement, prononcées conformément au règlement intérieur et au Code du travail (art. L.1331-1 et suivants).</w:t>
      </w:r>
    </w:p>
    <w:p>
      <w:r>
        <w:rPr>
          <w:b/>
          <w:i w:val="0"/>
          <w:sz w:val="22"/>
        </w:rPr>
        <w:t>Échelle indicative des sanctions :</w:t>
      </w:r>
    </w:p>
    <w:tbl>
      <w:tblPr>
        <w:tblStyle w:val="LightGrid-Accent1"/>
        <w:tblW w:type="auto" w:w="0"/>
        <w:jc w:val="center"/>
        <w:tblLook w:firstColumn="1" w:firstRow="1" w:lastColumn="0" w:lastRow="0" w:noHBand="0" w:noVBand="1" w:val="04A0"/>
      </w:tblPr>
      <w:tblGrid>
        <w:gridCol w:w="4986"/>
        <w:gridCol w:w="4986"/>
      </w:tblGrid>
      <w:tr>
        <w:tc>
          <w:tcPr>
            <w:tcW w:type="dxa" w:w="4986"/>
            <w:shd w:val="clear" w:color="auto" w:fill="C0392B"/>
          </w:tcPr>
          <w:p>
            <w:r>
              <w:rPr>
                <w:b/>
                <w:color w:val="FFFFFF"/>
              </w:rPr>
              <w:t>Manquement</w:t>
            </w:r>
          </w:p>
        </w:tc>
        <w:tc>
          <w:tcPr>
            <w:tcW w:type="dxa" w:w="4986"/>
            <w:shd w:val="clear" w:color="auto" w:fill="C0392B"/>
          </w:tcPr>
          <w:p>
            <w:r>
              <w:rPr>
                <w:b/>
                <w:color w:val="FFFFFF"/>
              </w:rPr>
              <w:t>Sanction envisageable</w:t>
            </w:r>
          </w:p>
        </w:tc>
      </w:tr>
      <w:tr>
        <w:tc>
          <w:tcPr>
            <w:tcW w:type="dxa" w:w="4986"/>
          </w:tcPr>
          <w:p>
            <w:r>
              <w:t>Négligence ponctuelle (mot de passe sur post-it)</w:t>
            </w:r>
          </w:p>
        </w:tc>
        <w:tc>
          <w:tcPr>
            <w:tcW w:type="dxa" w:w="4986"/>
          </w:tcPr>
          <w:p>
            <w:r>
              <w:t>Avertissement oral / écrit</w:t>
            </w:r>
          </w:p>
        </w:tc>
      </w:tr>
      <w:tr>
        <w:tc>
          <w:tcPr>
            <w:tcW w:type="dxa" w:w="4986"/>
          </w:tcPr>
          <w:p>
            <w:r>
              <w:t>Manquement répété ou usage abusif d'internet</w:t>
            </w:r>
          </w:p>
        </w:tc>
        <w:tc>
          <w:tcPr>
            <w:tcW w:type="dxa" w:w="4986"/>
          </w:tcPr>
          <w:p>
            <w:r>
              <w:t>Mise à pied disciplinaire</w:t>
            </w:r>
          </w:p>
        </w:tc>
      </w:tr>
      <w:tr>
        <w:tc>
          <w:tcPr>
            <w:tcW w:type="dxa" w:w="4986"/>
          </w:tcPr>
          <w:p>
            <w:r>
              <w:t>Installation logiciel piraté, divulgation données</w:t>
            </w:r>
          </w:p>
        </w:tc>
        <w:tc>
          <w:tcPr>
            <w:tcW w:type="dxa" w:w="4986"/>
          </w:tcPr>
          <w:p>
            <w:r>
              <w:t>Mise à pied ou licenciement disciplinaire</w:t>
            </w:r>
          </w:p>
        </w:tc>
      </w:tr>
      <w:tr>
        <w:tc>
          <w:tcPr>
            <w:tcW w:type="dxa" w:w="4986"/>
          </w:tcPr>
          <w:p>
            <w:r>
              <w:t>Acte malveillant, vol données, sabotage</w:t>
            </w:r>
          </w:p>
        </w:tc>
        <w:tc>
          <w:tcPr>
            <w:tcW w:type="dxa" w:w="4986"/>
          </w:tcPr>
          <w:p>
            <w:r>
              <w:t>Licenciement pour faute grave/lourde + poursuites</w:t>
            </w:r>
          </w:p>
        </w:tc>
      </w:tr>
    </w:tbl>
    <w:p>
      <w:r>
        <w:rPr>
          <w:b w:val="0"/>
          <w:i w:val="0"/>
          <w:sz w:val="22"/>
        </w:rPr>
        <w:t>Des poursuites civiles ou pénales peuvent en outre être engagées (atteinte à un STAD - art. 323-1 et suivants Code pénal ; contrefaçon ; violation du secret professionnel).</w:t>
      </w:r>
    </w:p>
    <w:p>
      <w:r>
        <w:br w:type="page"/>
      </w:r>
    </w:p>
    <w:p>
      <w:pPr>
        <w:pStyle w:val="Heading1"/>
      </w:pPr>
      <w:r>
        <w:rPr>
          <w:color w:val="C0392B"/>
        </w:rPr>
        <w:t>RECONNAISSANCE ET ACCEPTATION</w:t>
      </w:r>
    </w:p>
    <w:p>
      <w:r>
        <w:rPr>
          <w:b w:val="0"/>
          <w:i w:val="0"/>
          <w:sz w:val="22"/>
        </w:rPr>
        <w:t>Je soussigné(e), en signant la présente charte, reconnais en avoir pris connaissance, l'avoir comprise et m'engage à respecter l'ensemble de ses dispositions.</w:t>
      </w:r>
    </w:p>
    <w:p/>
    <w:p/>
    <w:tbl>
      <w:tblPr>
        <w:tblStyle w:val="LightGrid-Accent1"/>
        <w:tblW w:type="auto" w:w="0"/>
        <w:tblLook w:firstColumn="1" w:firstRow="1" w:lastColumn="0" w:lastRow="0" w:noHBand="0" w:noVBand="1" w:val="04A0"/>
      </w:tblPr>
      <w:tblGrid>
        <w:gridCol w:w="4986"/>
        <w:gridCol w:w="4986"/>
      </w:tblGrid>
      <w:tr>
        <w:tc>
          <w:tcPr>
            <w:tcW w:type="dxa" w:w="4986"/>
          </w:tcPr>
          <w:p>
            <w:r>
              <w:rPr>
                <w:b/>
              </w:rPr>
              <w:t>Nom et prénom du salarié</w:t>
            </w:r>
          </w:p>
        </w:tc>
        <w:tc>
          <w:tcPr>
            <w:tcW w:type="dxa" w:w="4986"/>
          </w:tcPr>
          <w:p>
            <w:r>
              <w:t>[Nom Prénom]</w:t>
            </w:r>
          </w:p>
        </w:tc>
      </w:tr>
      <w:tr>
        <w:tc>
          <w:tcPr>
            <w:tcW w:type="dxa" w:w="4986"/>
          </w:tcPr>
          <w:p>
            <w:r>
              <w:rPr>
                <w:b/>
              </w:rPr>
              <w:t>Fonction</w:t>
            </w:r>
          </w:p>
        </w:tc>
        <w:tc>
          <w:tcPr>
            <w:tcW w:type="dxa" w:w="4986"/>
          </w:tcPr>
          <w:p>
            <w:r>
              <w:t>[Fonction]</w:t>
            </w:r>
          </w:p>
        </w:tc>
      </w:tr>
      <w:tr>
        <w:tc>
          <w:tcPr>
            <w:tcW w:type="dxa" w:w="4986"/>
          </w:tcPr>
          <w:p>
            <w:r>
              <w:rPr>
                <w:b/>
              </w:rPr>
              <w:t>Date</w:t>
            </w:r>
          </w:p>
        </w:tc>
        <w:tc>
          <w:tcPr>
            <w:tcW w:type="dxa" w:w="4986"/>
          </w:tcPr>
          <w:p>
            <w:r>
              <w:t>[JJ/MM/2026]</w:t>
            </w:r>
          </w:p>
        </w:tc>
      </w:tr>
      <w:tr>
        <w:tc>
          <w:tcPr>
            <w:tcW w:type="dxa" w:w="4986"/>
          </w:tcPr>
          <w:p>
            <w:r>
              <w:rPr>
                <w:b/>
              </w:rPr>
              <w:t>Signature (« Lu et approuvé »)</w:t>
            </w:r>
          </w:p>
        </w:tc>
        <w:tc>
          <w:tcPr>
            <w:tcW w:type="dxa" w:w="4986"/>
          </w:tcPr>
          <w:p>
            <w:r>
              <w:t xml:space="preserve"> </w:t>
            </w:r>
          </w:p>
        </w:tc>
      </w:tr>
    </w:tbl>
    <w:p/>
    <w:p>
      <w:pPr>
        <w:jc w:val="center"/>
      </w:pPr>
      <w:r>
        <w:rPr>
          <w:i/>
          <w:color w:val="7F8C8D"/>
          <w:sz w:val="16"/>
        </w:rPr>
        <w:t>Modèle élaboré conformément aux référentiels ANSSI ReCyF 2026, RGPD, NIS 2 (Directive UE 2022/2555), Loi Résilience 2025-391, AI Act (UE 2024/1689) et jurisprudence française.</w:t>
        <w:br/>
        <w:t>© Ayi NEDJIMI Consultants — ayinedjimi-consultants.fr — Modèle TPE / Freelance (1 à 50 salariés)</w:t>
      </w:r>
    </w:p>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i/>
        <w:color w:val="7F8C8D"/>
        <w:sz w:val="16"/>
      </w:rPr>
      <w:t>Modèle Charte Informatique TPE / Freelance (1 à 50 salariés) · Ayi NEDJIMI Consultants · ayinedjimi-consultants.fr</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