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00528A"/>
          <w:sz w:val="56"/>
        </w:rPr>
        <w:t>Politique de Sécurité</w:t>
        <w:br/>
        <w:t>des Systèmes d'Information</w:t>
        <w:br/>
        <w:t>(PSSI)</w:t>
      </w:r>
    </w:p>
    <w:p/>
    <w:p>
      <w:pPr>
        <w:jc w:val="center"/>
      </w:pPr>
      <w:r>
        <w:rPr>
          <w:i/>
          <w:color w:val="333333"/>
          <w:sz w:val="36"/>
        </w:rPr>
        <w:t>[Nom de l'Entreprise]</w:t>
      </w:r>
    </w:p>
    <w:p/>
    <w:p>
      <w:pPr>
        <w:jc w:val="center"/>
      </w:pPr>
      <w:r>
        <w:rPr>
          <w:color w:val="666666"/>
          <w:sz w:val="24"/>
        </w:rPr>
        <w:t>Version 1.0 — 04/04/2026</w:t>
        <w:br/>
        <w:t>Classification : Confidentiel</w:t>
      </w:r>
    </w:p>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1152"/>
            <w:shd w:fill="00528A" w:val="clear"/>
          </w:tcPr>
          <w:p>
            <w:pPr>
              <w:jc w:val="center"/>
            </w:pPr>
            <w:r>
              <w:rPr>
                <w:b/>
                <w:color w:val="FFFFFF"/>
                <w:sz w:val="18"/>
              </w:rPr>
              <w:t>Version</w:t>
            </w:r>
          </w:p>
        </w:tc>
        <w:tc>
          <w:tcPr>
            <w:tcW w:type="dxa" w:w="1728"/>
            <w:shd w:fill="00528A" w:val="clear"/>
          </w:tcPr>
          <w:p>
            <w:pPr>
              <w:jc w:val="center"/>
            </w:pPr>
            <w:r>
              <w:rPr>
                <w:b/>
                <w:color w:val="FFFFFF"/>
                <w:sz w:val="18"/>
              </w:rPr>
              <w:t>Date</w:t>
            </w:r>
          </w:p>
        </w:tc>
        <w:tc>
          <w:tcPr>
            <w:tcW w:type="dxa" w:w="2160"/>
            <w:shd w:fill="00528A" w:val="clear"/>
          </w:tcPr>
          <w:p>
            <w:pPr>
              <w:jc w:val="center"/>
            </w:pPr>
            <w:r>
              <w:rPr>
                <w:b/>
                <w:color w:val="FFFFFF"/>
                <w:sz w:val="18"/>
              </w:rPr>
              <w:t>Auteur</w:t>
            </w:r>
          </w:p>
        </w:tc>
        <w:tc>
          <w:tcPr>
            <w:tcW w:type="dxa" w:w="4320"/>
            <w:shd w:fill="00528A" w:val="clear"/>
          </w:tcPr>
          <w:p>
            <w:pPr>
              <w:jc w:val="center"/>
            </w:pPr>
            <w:r>
              <w:rPr>
                <w:b/>
                <w:color w:val="FFFFFF"/>
                <w:sz w:val="18"/>
              </w:rPr>
              <w:t>Modifications</w:t>
            </w:r>
          </w:p>
        </w:tc>
      </w:tr>
      <w:tr>
        <w:tc>
          <w:tcPr>
            <w:tcW w:type="dxa" w:w="1152"/>
          </w:tcPr>
          <w:p>
            <w:r>
              <w:rPr>
                <w:sz w:val="18"/>
              </w:rPr>
              <w:t>1.0</w:t>
            </w:r>
          </w:p>
        </w:tc>
        <w:tc>
          <w:tcPr>
            <w:tcW w:type="dxa" w:w="1728"/>
          </w:tcPr>
          <w:p>
            <w:r>
              <w:rPr>
                <w:sz w:val="18"/>
              </w:rPr>
              <w:t>04/04/2026</w:t>
            </w:r>
          </w:p>
        </w:tc>
        <w:tc>
          <w:tcPr>
            <w:tcW w:type="dxa" w:w="2160"/>
          </w:tcPr>
          <w:p>
            <w:r>
              <w:rPr>
                <w:sz w:val="18"/>
              </w:rPr>
              <w:t>[Auteur]</w:t>
            </w:r>
          </w:p>
        </w:tc>
        <w:tc>
          <w:tcPr>
            <w:tcW w:type="dxa" w:w="4320"/>
          </w:tcPr>
          <w:p>
            <w:r>
              <w:rPr>
                <w:sz w:val="18"/>
              </w:rPr>
              <w:t>Création initiale</w:t>
            </w:r>
          </w:p>
        </w:tc>
      </w:tr>
      <w:tr>
        <w:tc>
          <w:tcPr>
            <w:tcW w:type="dxa" w:w="1152"/>
          </w:tcPr>
          <w:p>
            <w:r>
              <w:rPr>
                <w:sz w:val="18"/>
              </w:rPr>
            </w:r>
          </w:p>
        </w:tc>
        <w:tc>
          <w:tcPr>
            <w:tcW w:type="dxa" w:w="1728"/>
          </w:tcPr>
          <w:p>
            <w:r>
              <w:rPr>
                <w:sz w:val="18"/>
              </w:rPr>
            </w:r>
          </w:p>
        </w:tc>
        <w:tc>
          <w:tcPr>
            <w:tcW w:type="dxa" w:w="2160"/>
          </w:tcPr>
          <w:p>
            <w:r>
              <w:rPr>
                <w:sz w:val="18"/>
              </w:rPr>
            </w:r>
          </w:p>
        </w:tc>
        <w:tc>
          <w:tcPr>
            <w:tcW w:type="dxa" w:w="4320"/>
          </w:tcPr>
          <w:p>
            <w:r>
              <w:rPr>
                <w:sz w:val="18"/>
              </w:rPr>
            </w:r>
          </w:p>
        </w:tc>
      </w:tr>
    </w:tbl>
    <w:p>
      <w:r>
        <w:br w:type="page"/>
      </w:r>
    </w:p>
    <w:p>
      <w:pPr>
        <w:pStyle w:val="Heading1"/>
      </w:pPr>
      <w:r>
        <w:t>Table des Matières</w:t>
      </w:r>
    </w:p>
    <w:p>
      <w:r>
        <w:rPr>
          <w:i/>
          <w:color w:val="999999"/>
        </w:rPr>
        <w:t>[Insérer la table des matières ici : Références &gt; Table des matières]</w:t>
      </w:r>
      <w:r>
        <w:fldChar w:fldCharType="begin"/>
      </w:r>
      <w:r>
        <w:instrText xml:space="preserve"> TOC \o "1-3" \h \z \u </w:instrText>
      </w:r>
      <w:r>
        <w:fldChar w:fldCharType="separate"/>
      </w:r>
      <w:r>
        <w:fldChar w:fldCharType="end"/>
      </w:r>
    </w:p>
    <w:p>
      <w:r>
        <w:br w:type="page"/>
      </w:r>
    </w:p>
    <w:p>
      <w:commentRangeStart w:id="1"/>
      <w:pPr>
        <w:pStyle w:val="Heading1"/>
      </w:pPr>
      <w:r>
        <w:t>1. Introduction et Contexte</w:t>
      </w:r>
      <w:commentRangeEnd w:id="1"/>
      <w:r>
        <w:rPr>
          <w:rStyle w:val="CommentReference"/>
        </w:rPr>
        <w:commentReference w:id="1"/>
      </w:r>
    </w:p>
    <w:p>
      <w:pPr>
        <w:pStyle w:val="Heading2"/>
      </w:pPr>
      <w:r>
        <w:t>1.1 Objectif de la PSSI</w:t>
      </w:r>
    </w:p>
    <w:p>
      <w:r>
        <w:t>La présente Politique de Sécurité des Systèmes d'Information (PSSI) définit le cadre, les principes et les règles de sécurité applicables à l'ensemble des systèmes d'information de [Nom de l'Entreprise]. Elle vise à protéger les actifs informationnels contre les menaces internes et externes, à garantir la confidentialité, l'intégrité et la disponibilité des données, et à assurer la conformité avec les exigences réglementaires.</w:t>
      </w:r>
    </w:p>
    <w:p>
      <w:pPr>
        <w:pStyle w:val="Heading2"/>
      </w:pPr>
      <w:r>
        <w:t>1.2 Périmètre d'application</w:t>
      </w:r>
    </w:p>
    <w:p>
      <w:r>
        <w:t>Cette politique s'applique à :</w:t>
      </w:r>
    </w:p>
    <w:p>
      <w:pPr>
        <w:pStyle w:val="ListBullet"/>
      </w:pPr>
      <w:r>
        <w:t>L'ensemble des collaborateurs, prestataires et partenaires ayant accès aux SI</w:t>
      </w:r>
    </w:p>
    <w:p>
      <w:pPr>
        <w:pStyle w:val="ListBullet"/>
      </w:pPr>
      <w:r>
        <w:t>Tous les systèmes d'information, infrastructures, applications et données</w:t>
      </w:r>
    </w:p>
    <w:p>
      <w:pPr>
        <w:pStyle w:val="ListBullet"/>
      </w:pPr>
      <w:r>
        <w:t>Les locaux et installations hébergeant des équipements informatiques</w:t>
      </w:r>
    </w:p>
    <w:p>
      <w:pPr>
        <w:pStyle w:val="ListBullet"/>
      </w:pPr>
      <w:r>
        <w:t>Les processus métier s'appuyant sur les systèmes d'information</w:t>
      </w:r>
    </w:p>
    <w:p>
      <w:pPr>
        <w:pStyle w:val="Heading2"/>
      </w:pPr>
      <w:r>
        <w:t>1.3 Cadre réglementaire et normatif</w:t>
      </w:r>
    </w:p>
    <w:p>
      <w:commentRangeStart w:id="2"/>
      <w:r>
        <w:t>Cette PSSI s'inscrit dans le respect des référentiels suivants :</w:t>
      </w:r>
      <w:commentRangeEnd w:id="2"/>
      <w:r>
        <w:rPr>
          <w:rStyle w:val="CommentReference"/>
        </w:rPr>
        <w:commentReference w:id="2"/>
      </w:r>
    </w:p>
    <w:tbl>
      <w:tblPr>
        <w:tblStyle w:val="TableGrid"/>
        <w:tblW w:type="auto" w:w="0"/>
        <w:jc w:val="center"/>
        <w:tblLook w:firstColumn="1" w:firstRow="1" w:lastColumn="0" w:lastRow="0" w:noHBand="0" w:noVBand="1" w:val="04A0"/>
      </w:tblPr>
      <w:tblGrid>
        <w:gridCol w:w="2880"/>
        <w:gridCol w:w="2880"/>
        <w:gridCol w:w="2880"/>
      </w:tblGrid>
      <w:tr>
        <w:tc>
          <w:tcPr>
            <w:tcW w:type="dxa" w:w="2160"/>
            <w:shd w:fill="00528A" w:val="clear"/>
          </w:tcPr>
          <w:p>
            <w:pPr>
              <w:jc w:val="center"/>
            </w:pPr>
            <w:r>
              <w:rPr>
                <w:b/>
                <w:color w:val="FFFFFF"/>
                <w:sz w:val="18"/>
              </w:rPr>
              <w:t>Référentiel</w:t>
            </w:r>
          </w:p>
        </w:tc>
        <w:tc>
          <w:tcPr>
            <w:tcW w:type="dxa" w:w="5040"/>
            <w:shd w:fill="00528A" w:val="clear"/>
          </w:tcPr>
          <w:p>
            <w:pPr>
              <w:jc w:val="center"/>
            </w:pPr>
            <w:r>
              <w:rPr>
                <w:b/>
                <w:color w:val="FFFFFF"/>
                <w:sz w:val="18"/>
              </w:rPr>
              <w:t>Description</w:t>
            </w:r>
          </w:p>
        </w:tc>
        <w:tc>
          <w:tcPr>
            <w:tcW w:type="dxa" w:w="2160"/>
            <w:shd w:fill="00528A" w:val="clear"/>
          </w:tcPr>
          <w:p>
            <w:pPr>
              <w:jc w:val="center"/>
            </w:pPr>
            <w:r>
              <w:rPr>
                <w:b/>
                <w:color w:val="FFFFFF"/>
                <w:sz w:val="18"/>
              </w:rPr>
              <w:t>Applicabilité</w:t>
            </w:r>
          </w:p>
        </w:tc>
      </w:tr>
      <w:tr>
        <w:tc>
          <w:tcPr>
            <w:tcW w:type="dxa" w:w="2160"/>
          </w:tcPr>
          <w:p>
            <w:r>
              <w:rPr>
                <w:sz w:val="18"/>
              </w:rPr>
              <w:t>ISO/IEC 27001:2022</w:t>
            </w:r>
          </w:p>
        </w:tc>
        <w:tc>
          <w:tcPr>
            <w:tcW w:type="dxa" w:w="5040"/>
          </w:tcPr>
          <w:p>
            <w:r>
              <w:rPr>
                <w:sz w:val="18"/>
              </w:rPr>
              <w:t>Système de Management de la Sécurité de l'Information (SMSI)</w:t>
            </w:r>
          </w:p>
        </w:tc>
        <w:tc>
          <w:tcPr>
            <w:tcW w:type="dxa" w:w="2160"/>
          </w:tcPr>
          <w:p>
            <w:r>
              <w:rPr>
                <w:sz w:val="18"/>
              </w:rPr>
              <w:t>Obligatoire</w:t>
            </w:r>
          </w:p>
        </w:tc>
      </w:tr>
      <w:tr>
        <w:tc>
          <w:tcPr>
            <w:tcW w:type="dxa" w:w="2160"/>
          </w:tcPr>
          <w:p>
            <w:r>
              <w:rPr>
                <w:sz w:val="18"/>
              </w:rPr>
              <w:t>ISO/IEC 27002:2022</w:t>
            </w:r>
          </w:p>
        </w:tc>
        <w:tc>
          <w:tcPr>
            <w:tcW w:type="dxa" w:w="5040"/>
          </w:tcPr>
          <w:p>
            <w:r>
              <w:rPr>
                <w:sz w:val="18"/>
              </w:rPr>
              <w:t>Code de bonnes pratiques pour les mesures de sécurité</w:t>
            </w:r>
          </w:p>
        </w:tc>
        <w:tc>
          <w:tcPr>
            <w:tcW w:type="dxa" w:w="2160"/>
          </w:tcPr>
          <w:p>
            <w:r>
              <w:rPr>
                <w:sz w:val="18"/>
              </w:rPr>
              <w:t>Référence</w:t>
            </w:r>
          </w:p>
        </w:tc>
      </w:tr>
      <w:tr>
        <w:tc>
          <w:tcPr>
            <w:tcW w:type="dxa" w:w="2160"/>
          </w:tcPr>
          <w:p>
            <w:r>
              <w:rPr>
                <w:sz w:val="18"/>
              </w:rPr>
              <w:t>RGPD (UE 2016/679)</w:t>
            </w:r>
          </w:p>
        </w:tc>
        <w:tc>
          <w:tcPr>
            <w:tcW w:type="dxa" w:w="5040"/>
          </w:tcPr>
          <w:p>
            <w:r>
              <w:rPr>
                <w:sz w:val="18"/>
              </w:rPr>
              <w:t>Règlement Général sur la Protection des Données</w:t>
            </w:r>
          </w:p>
        </w:tc>
        <w:tc>
          <w:tcPr>
            <w:tcW w:type="dxa" w:w="2160"/>
          </w:tcPr>
          <w:p>
            <w:r>
              <w:rPr>
                <w:sz w:val="18"/>
              </w:rPr>
              <w:t>Obligatoire</w:t>
            </w:r>
          </w:p>
        </w:tc>
      </w:tr>
      <w:tr>
        <w:tc>
          <w:tcPr>
            <w:tcW w:type="dxa" w:w="2160"/>
          </w:tcPr>
          <w:p>
            <w:r>
              <w:rPr>
                <w:sz w:val="18"/>
              </w:rPr>
              <w:t>Directive NIS 2</w:t>
            </w:r>
          </w:p>
        </w:tc>
        <w:tc>
          <w:tcPr>
            <w:tcW w:type="dxa" w:w="5040"/>
          </w:tcPr>
          <w:p>
            <w:r>
              <w:rPr>
                <w:sz w:val="18"/>
              </w:rPr>
              <w:t>Sécurité des réseaux et systèmes d'information</w:t>
            </w:r>
          </w:p>
        </w:tc>
        <w:tc>
          <w:tcPr>
            <w:tcW w:type="dxa" w:w="2160"/>
          </w:tcPr>
          <w:p>
            <w:r>
              <w:rPr>
                <w:sz w:val="18"/>
              </w:rPr>
              <w:t>Selon éligibilité</w:t>
            </w:r>
          </w:p>
        </w:tc>
      </w:tr>
      <w:tr>
        <w:tc>
          <w:tcPr>
            <w:tcW w:type="dxa" w:w="2160"/>
          </w:tcPr>
          <w:p>
            <w:r>
              <w:rPr>
                <w:sz w:val="18"/>
              </w:rPr>
              <w:t>ISO 27005</w:t>
            </w:r>
          </w:p>
        </w:tc>
        <w:tc>
          <w:tcPr>
            <w:tcW w:type="dxa" w:w="5040"/>
          </w:tcPr>
          <w:p>
            <w:r>
              <w:rPr>
                <w:sz w:val="18"/>
              </w:rPr>
              <w:t>Gestion des risques de sécurité de l'information</w:t>
            </w:r>
          </w:p>
        </w:tc>
        <w:tc>
          <w:tcPr>
            <w:tcW w:type="dxa" w:w="2160"/>
          </w:tcPr>
          <w:p>
            <w:r>
              <w:rPr>
                <w:sz w:val="18"/>
              </w:rPr>
              <w:t>Référence</w:t>
            </w:r>
          </w:p>
        </w:tc>
      </w:tr>
    </w:tbl>
    <w:p>
      <w:r>
        <w:br w:type="page"/>
      </w:r>
    </w:p>
    <w:p>
      <w:commentRangeStart w:id="3"/>
      <w:pPr>
        <w:pStyle w:val="Heading1"/>
      </w:pPr>
      <w:r>
        <w:t>2. Gouvernance de la Sécurité</w:t>
      </w:r>
      <w:commentRangeEnd w:id="3"/>
      <w:r>
        <w:rPr>
          <w:rStyle w:val="CommentReference"/>
        </w:rPr>
        <w:commentReference w:id="3"/>
      </w:r>
    </w:p>
    <w:p>
      <w:pPr>
        <w:pStyle w:val="Heading2"/>
      </w:pPr>
      <w:r>
        <w:t>2.1 Organisation de la sécurité</w:t>
      </w:r>
    </w:p>
    <w:p>
      <w:r>
        <w:t>La gouvernance de la sécurité de l'information repose sur une structure organisationnelle claire, avec des rôles et responsabilités définis à chaque niveau de l'organisation.</w:t>
      </w:r>
    </w:p>
    <w:p>
      <w:pPr>
        <w:pStyle w:val="Heading2"/>
      </w:pPr>
      <w:r>
        <w:t>2.2 Rôles et responsabilités</w:t>
      </w:r>
    </w:p>
    <w:tbl>
      <w:tblPr>
        <w:tblStyle w:val="TableGrid"/>
        <w:tblW w:type="auto" w:w="0"/>
        <w:jc w:val="center"/>
        <w:tblLook w:firstColumn="1" w:firstRow="1" w:lastColumn="0" w:lastRow="0" w:noHBand="0" w:noVBand="1" w:val="04A0"/>
      </w:tblPr>
      <w:tblGrid>
        <w:gridCol w:w="2880"/>
        <w:gridCol w:w="2880"/>
        <w:gridCol w:w="2880"/>
      </w:tblGrid>
      <w:tr>
        <w:tc>
          <w:tcPr>
            <w:tcW w:type="dxa" w:w="2160"/>
            <w:shd w:fill="00528A" w:val="clear"/>
          </w:tcPr>
          <w:p>
            <w:pPr>
              <w:jc w:val="center"/>
            </w:pPr>
            <w:r>
              <w:rPr>
                <w:b/>
                <w:color w:val="FFFFFF"/>
                <w:sz w:val="18"/>
              </w:rPr>
              <w:t>Rôle</w:t>
            </w:r>
          </w:p>
        </w:tc>
        <w:tc>
          <w:tcPr>
            <w:tcW w:type="dxa" w:w="5040"/>
            <w:shd w:fill="00528A" w:val="clear"/>
          </w:tcPr>
          <w:p>
            <w:pPr>
              <w:jc w:val="center"/>
            </w:pPr>
            <w:r>
              <w:rPr>
                <w:b/>
                <w:color w:val="FFFFFF"/>
                <w:sz w:val="18"/>
              </w:rPr>
              <w:t>Responsabilités principales</w:t>
            </w:r>
          </w:p>
        </w:tc>
        <w:tc>
          <w:tcPr>
            <w:tcW w:type="dxa" w:w="2160"/>
            <w:shd w:fill="00528A" w:val="clear"/>
          </w:tcPr>
          <w:p>
            <w:pPr>
              <w:jc w:val="center"/>
            </w:pPr>
            <w:r>
              <w:rPr>
                <w:b/>
                <w:color w:val="FFFFFF"/>
                <w:sz w:val="18"/>
              </w:rPr>
              <w:t>Rattachement</w:t>
            </w:r>
          </w:p>
        </w:tc>
      </w:tr>
      <w:tr>
        <w:tc>
          <w:tcPr>
            <w:tcW w:type="dxa" w:w="2160"/>
          </w:tcPr>
          <w:p>
            <w:r>
              <w:rPr>
                <w:sz w:val="18"/>
              </w:rPr>
              <w:t>Direction Générale</w:t>
            </w:r>
          </w:p>
        </w:tc>
        <w:tc>
          <w:tcPr>
            <w:tcW w:type="dxa" w:w="5040"/>
          </w:tcPr>
          <w:p>
            <w:r>
              <w:rPr>
                <w:sz w:val="18"/>
              </w:rPr>
              <w:t>Validation de la PSSI, allocation des ressources, revue annuelle</w:t>
            </w:r>
          </w:p>
        </w:tc>
        <w:tc>
          <w:tcPr>
            <w:tcW w:type="dxa" w:w="2160"/>
          </w:tcPr>
          <w:p>
            <w:r>
              <w:rPr>
                <w:sz w:val="18"/>
              </w:rPr>
              <w:t>—</w:t>
            </w:r>
          </w:p>
        </w:tc>
      </w:tr>
      <w:tr>
        <w:tc>
          <w:tcPr>
            <w:tcW w:type="dxa" w:w="2160"/>
          </w:tcPr>
          <w:p>
            <w:r>
              <w:rPr>
                <w:sz w:val="18"/>
              </w:rPr>
              <w:t>RSSI</w:t>
            </w:r>
          </w:p>
        </w:tc>
        <w:tc>
          <w:tcPr>
            <w:tcW w:type="dxa" w:w="5040"/>
          </w:tcPr>
          <w:p>
            <w:r>
              <w:rPr>
                <w:sz w:val="18"/>
              </w:rPr>
              <w:t>Pilotage de la sécurité, gestion des risques, reporting, veille</w:t>
            </w:r>
          </w:p>
        </w:tc>
        <w:tc>
          <w:tcPr>
            <w:tcW w:type="dxa" w:w="2160"/>
          </w:tcPr>
          <w:p>
            <w:r>
              <w:rPr>
                <w:sz w:val="18"/>
              </w:rPr>
              <w:t>Direction Générale / DSI</w:t>
            </w:r>
          </w:p>
        </w:tc>
      </w:tr>
      <w:tr>
        <w:tc>
          <w:tcPr>
            <w:tcW w:type="dxa" w:w="2160"/>
          </w:tcPr>
          <w:p>
            <w:r>
              <w:rPr>
                <w:sz w:val="18"/>
              </w:rPr>
              <w:t>DPO</w:t>
            </w:r>
          </w:p>
        </w:tc>
        <w:tc>
          <w:tcPr>
            <w:tcW w:type="dxa" w:w="5040"/>
          </w:tcPr>
          <w:p>
            <w:r>
              <w:rPr>
                <w:sz w:val="18"/>
              </w:rPr>
              <w:t>Conformité RGPD, registre des traitements, analyses d'impact</w:t>
            </w:r>
          </w:p>
        </w:tc>
        <w:tc>
          <w:tcPr>
            <w:tcW w:type="dxa" w:w="2160"/>
          </w:tcPr>
          <w:p>
            <w:r>
              <w:rPr>
                <w:sz w:val="18"/>
              </w:rPr>
              <w:t>Direction Générale</w:t>
            </w:r>
          </w:p>
        </w:tc>
      </w:tr>
      <w:tr>
        <w:tc>
          <w:tcPr>
            <w:tcW w:type="dxa" w:w="2160"/>
          </w:tcPr>
          <w:p>
            <w:r>
              <w:rPr>
                <w:sz w:val="18"/>
              </w:rPr>
              <w:t>Comité de Sécurité</w:t>
            </w:r>
          </w:p>
        </w:tc>
        <w:tc>
          <w:tcPr>
            <w:tcW w:type="dxa" w:w="5040"/>
          </w:tcPr>
          <w:p>
            <w:r>
              <w:rPr>
                <w:sz w:val="18"/>
              </w:rPr>
              <w:t>Arbitrage, validation des plans d'action, suivi des indicateurs</w:t>
            </w:r>
          </w:p>
        </w:tc>
        <w:tc>
          <w:tcPr>
            <w:tcW w:type="dxa" w:w="2160"/>
          </w:tcPr>
          <w:p>
            <w:r>
              <w:rPr>
                <w:sz w:val="18"/>
              </w:rPr>
              <w:t>Direction Générale</w:t>
            </w:r>
          </w:p>
        </w:tc>
      </w:tr>
      <w:tr>
        <w:tc>
          <w:tcPr>
            <w:tcW w:type="dxa" w:w="2160"/>
          </w:tcPr>
          <w:p>
            <w:r>
              <w:rPr>
                <w:sz w:val="18"/>
              </w:rPr>
              <w:t>Responsables métier</w:t>
            </w:r>
          </w:p>
        </w:tc>
        <w:tc>
          <w:tcPr>
            <w:tcW w:type="dxa" w:w="5040"/>
          </w:tcPr>
          <w:p>
            <w:r>
              <w:rPr>
                <w:sz w:val="18"/>
              </w:rPr>
              <w:t>Application de la PSSI dans leur périmètre, classification des données</w:t>
            </w:r>
          </w:p>
        </w:tc>
        <w:tc>
          <w:tcPr>
            <w:tcW w:type="dxa" w:w="2160"/>
          </w:tcPr>
          <w:p>
            <w:r>
              <w:rPr>
                <w:sz w:val="18"/>
              </w:rPr>
              <w:t>Direction concernée</w:t>
            </w:r>
          </w:p>
        </w:tc>
      </w:tr>
      <w:tr>
        <w:tc>
          <w:tcPr>
            <w:tcW w:type="dxa" w:w="2160"/>
          </w:tcPr>
          <w:p>
            <w:r>
              <w:rPr>
                <w:sz w:val="18"/>
              </w:rPr>
              <w:t>Administrateurs SI</w:t>
            </w:r>
          </w:p>
        </w:tc>
        <w:tc>
          <w:tcPr>
            <w:tcW w:type="dxa" w:w="5040"/>
          </w:tcPr>
          <w:p>
            <w:r>
              <w:rPr>
                <w:sz w:val="18"/>
              </w:rPr>
              <w:t>Mise en œuvre technique des mesures de sécurité</w:t>
            </w:r>
          </w:p>
        </w:tc>
        <w:tc>
          <w:tcPr>
            <w:tcW w:type="dxa" w:w="2160"/>
          </w:tcPr>
          <w:p>
            <w:r>
              <w:rPr>
                <w:sz w:val="18"/>
              </w:rPr>
              <w:t>DSI</w:t>
            </w:r>
          </w:p>
        </w:tc>
      </w:tr>
      <w:tr>
        <w:tc>
          <w:tcPr>
            <w:tcW w:type="dxa" w:w="2160"/>
          </w:tcPr>
          <w:p>
            <w:r>
              <w:rPr>
                <w:sz w:val="18"/>
              </w:rPr>
              <w:t>Utilisateurs</w:t>
            </w:r>
          </w:p>
        </w:tc>
        <w:tc>
          <w:tcPr>
            <w:tcW w:type="dxa" w:w="5040"/>
          </w:tcPr>
          <w:p>
            <w:r>
              <w:rPr>
                <w:sz w:val="18"/>
              </w:rPr>
              <w:t>Respect de la PSSI et de la charte informatique</w:t>
            </w:r>
          </w:p>
        </w:tc>
        <w:tc>
          <w:tcPr>
            <w:tcW w:type="dxa" w:w="2160"/>
          </w:tcPr>
          <w:p>
            <w:r>
              <w:rPr>
                <w:sz w:val="18"/>
              </w:rPr>
              <w:t>Toute direction</w:t>
            </w:r>
          </w:p>
        </w:tc>
      </w:tr>
    </w:tbl>
    <w:p>
      <w:pPr>
        <w:pStyle w:val="Heading2"/>
      </w:pPr>
      <w:r>
        <w:t>2.3 Revue de direction</w:t>
      </w:r>
    </w:p>
    <w:p>
      <w:r>
        <w:t>La Direction procède à une revue du SMSI au minimum une fois par an. Cette revue couvre :</w:t>
      </w:r>
    </w:p>
    <w:p>
      <w:pPr>
        <w:pStyle w:val="ListBullet"/>
      </w:pPr>
      <w:r>
        <w:t>L'état des actions issues des revues précédentes</w:t>
      </w:r>
    </w:p>
    <w:p>
      <w:pPr>
        <w:pStyle w:val="ListBullet"/>
      </w:pPr>
      <w:r>
        <w:t>Les changements des enjeux externes et internes</w:t>
      </w:r>
    </w:p>
    <w:p>
      <w:pPr>
        <w:pStyle w:val="ListBullet"/>
      </w:pPr>
      <w:r>
        <w:t>Les retours sur les performances de sécurité (indicateurs, audits, incidents)</w:t>
      </w:r>
    </w:p>
    <w:p>
      <w:pPr>
        <w:pStyle w:val="ListBullet"/>
      </w:pPr>
      <w:r>
        <w:t>Les opportunités d'amélioration continue</w:t>
      </w:r>
    </w:p>
    <w:p>
      <w:r>
        <w:br w:type="page"/>
      </w:r>
    </w:p>
    <w:p>
      <w:commentRangeStart w:id="4"/>
      <w:pPr>
        <w:pStyle w:val="Heading1"/>
      </w:pPr>
      <w:r>
        <w:t>3. Classification des Actifs</w:t>
      </w:r>
      <w:commentRangeEnd w:id="4"/>
      <w:r>
        <w:rPr>
          <w:rStyle w:val="CommentReference"/>
        </w:rPr>
        <w:commentReference w:id="4"/>
      </w:r>
    </w:p>
    <w:p>
      <w:pPr>
        <w:pStyle w:val="Heading2"/>
      </w:pPr>
      <w:r>
        <w:t>3.1 Niveaux de classification</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864"/>
            <w:shd w:fill="00528A" w:val="clear"/>
          </w:tcPr>
          <w:p>
            <w:pPr>
              <w:jc w:val="center"/>
            </w:pPr>
            <w:r>
              <w:rPr>
                <w:b/>
                <w:color w:val="FFFFFF"/>
                <w:sz w:val="18"/>
              </w:rPr>
              <w:t>Niveau</w:t>
            </w:r>
          </w:p>
        </w:tc>
        <w:tc>
          <w:tcPr>
            <w:tcW w:type="dxa" w:w="1728"/>
            <w:shd w:fill="00528A" w:val="clear"/>
          </w:tcPr>
          <w:p>
            <w:pPr>
              <w:jc w:val="center"/>
            </w:pPr>
            <w:r>
              <w:rPr>
                <w:b/>
                <w:color w:val="FFFFFF"/>
                <w:sz w:val="18"/>
              </w:rPr>
              <w:t>Désignation</w:t>
            </w:r>
          </w:p>
        </w:tc>
        <w:tc>
          <w:tcPr>
            <w:tcW w:type="dxa" w:w="3600"/>
            <w:shd w:fill="00528A" w:val="clear"/>
          </w:tcPr>
          <w:p>
            <w:pPr>
              <w:jc w:val="center"/>
            </w:pPr>
            <w:r>
              <w:rPr>
                <w:b/>
                <w:color w:val="FFFFFF"/>
                <w:sz w:val="18"/>
              </w:rPr>
              <w:t>Description</w:t>
            </w:r>
          </w:p>
        </w:tc>
        <w:tc>
          <w:tcPr>
            <w:tcW w:type="dxa" w:w="3168"/>
            <w:shd w:fill="00528A" w:val="clear"/>
          </w:tcPr>
          <w:p>
            <w:pPr>
              <w:jc w:val="center"/>
            </w:pPr>
            <w:r>
              <w:rPr>
                <w:b/>
                <w:color w:val="FFFFFF"/>
                <w:sz w:val="18"/>
              </w:rPr>
              <w:t>Exemples</w:t>
            </w:r>
          </w:p>
        </w:tc>
      </w:tr>
      <w:tr>
        <w:tc>
          <w:tcPr>
            <w:tcW w:type="dxa" w:w="864"/>
          </w:tcPr>
          <w:p>
            <w:r>
              <w:rPr>
                <w:sz w:val="18"/>
              </w:rPr>
              <w:t>C1</w:t>
            </w:r>
          </w:p>
        </w:tc>
        <w:tc>
          <w:tcPr>
            <w:tcW w:type="dxa" w:w="1728"/>
          </w:tcPr>
          <w:p>
            <w:r>
              <w:rPr>
                <w:sz w:val="18"/>
              </w:rPr>
              <w:t>Public</w:t>
            </w:r>
          </w:p>
        </w:tc>
        <w:tc>
          <w:tcPr>
            <w:tcW w:type="dxa" w:w="3600"/>
          </w:tcPr>
          <w:p>
            <w:r>
              <w:rPr>
                <w:sz w:val="18"/>
              </w:rPr>
              <w:t>Information pouvant être diffusée sans restriction</w:t>
            </w:r>
          </w:p>
        </w:tc>
        <w:tc>
          <w:tcPr>
            <w:tcW w:type="dxa" w:w="3168"/>
          </w:tcPr>
          <w:p>
            <w:r>
              <w:rPr>
                <w:sz w:val="18"/>
              </w:rPr>
              <w:t>Brochures, site web public</w:t>
            </w:r>
          </w:p>
        </w:tc>
      </w:tr>
      <w:tr>
        <w:tc>
          <w:tcPr>
            <w:tcW w:type="dxa" w:w="864"/>
          </w:tcPr>
          <w:p>
            <w:r>
              <w:rPr>
                <w:sz w:val="18"/>
              </w:rPr>
              <w:t>C2</w:t>
            </w:r>
          </w:p>
        </w:tc>
        <w:tc>
          <w:tcPr>
            <w:tcW w:type="dxa" w:w="1728"/>
          </w:tcPr>
          <w:p>
            <w:r>
              <w:rPr>
                <w:sz w:val="18"/>
              </w:rPr>
              <w:t>Interne</w:t>
            </w:r>
          </w:p>
        </w:tc>
        <w:tc>
          <w:tcPr>
            <w:tcW w:type="dxa" w:w="3600"/>
          </w:tcPr>
          <w:p>
            <w:r>
              <w:rPr>
                <w:sz w:val="18"/>
              </w:rPr>
              <w:t>Information réservée aux collaborateurs</w:t>
            </w:r>
          </w:p>
        </w:tc>
        <w:tc>
          <w:tcPr>
            <w:tcW w:type="dxa" w:w="3168"/>
          </w:tcPr>
          <w:p>
            <w:r>
              <w:rPr>
                <w:sz w:val="18"/>
              </w:rPr>
              <w:t>Procédures internes, annuaire</w:t>
            </w:r>
          </w:p>
        </w:tc>
      </w:tr>
      <w:tr>
        <w:tc>
          <w:tcPr>
            <w:tcW w:type="dxa" w:w="864"/>
          </w:tcPr>
          <w:p>
            <w:r>
              <w:rPr>
                <w:sz w:val="18"/>
              </w:rPr>
              <w:t>C3</w:t>
            </w:r>
          </w:p>
        </w:tc>
        <w:tc>
          <w:tcPr>
            <w:tcW w:type="dxa" w:w="1728"/>
          </w:tcPr>
          <w:p>
            <w:r>
              <w:rPr>
                <w:sz w:val="18"/>
              </w:rPr>
              <w:t>Confidentiel</w:t>
            </w:r>
          </w:p>
        </w:tc>
        <w:tc>
          <w:tcPr>
            <w:tcW w:type="dxa" w:w="3600"/>
          </w:tcPr>
          <w:p>
            <w:r>
              <w:rPr>
                <w:sz w:val="18"/>
              </w:rPr>
              <w:t>Information dont la divulgation causerait un préjudice</w:t>
            </w:r>
          </w:p>
        </w:tc>
        <w:tc>
          <w:tcPr>
            <w:tcW w:type="dxa" w:w="3168"/>
          </w:tcPr>
          <w:p>
            <w:r>
              <w:rPr>
                <w:sz w:val="18"/>
              </w:rPr>
              <w:t>Données clients, contrats, données RH</w:t>
            </w:r>
          </w:p>
        </w:tc>
      </w:tr>
      <w:tr>
        <w:tc>
          <w:tcPr>
            <w:tcW w:type="dxa" w:w="864"/>
          </w:tcPr>
          <w:p>
            <w:r>
              <w:rPr>
                <w:sz w:val="18"/>
              </w:rPr>
              <w:t>C4</w:t>
            </w:r>
          </w:p>
        </w:tc>
        <w:tc>
          <w:tcPr>
            <w:tcW w:type="dxa" w:w="1728"/>
          </w:tcPr>
          <w:p>
            <w:r>
              <w:rPr>
                <w:sz w:val="18"/>
              </w:rPr>
              <w:t>Strictement Confidentiel</w:t>
            </w:r>
          </w:p>
        </w:tc>
        <w:tc>
          <w:tcPr>
            <w:tcW w:type="dxa" w:w="3600"/>
          </w:tcPr>
          <w:p>
            <w:r>
              <w:rPr>
                <w:sz w:val="18"/>
              </w:rPr>
              <w:t>Information critique nécessitant une protection renforcée</w:t>
            </w:r>
          </w:p>
        </w:tc>
        <w:tc>
          <w:tcPr>
            <w:tcW w:type="dxa" w:w="3168"/>
          </w:tcPr>
          <w:p>
            <w:r>
              <w:rPr>
                <w:sz w:val="18"/>
              </w:rPr>
              <w:t>Plans stratégiques, secrets industriels</w:t>
            </w:r>
          </w:p>
        </w:tc>
      </w:tr>
    </w:tbl>
    <w:p>
      <w:pPr>
        <w:pStyle w:val="Heading2"/>
      </w:pPr>
      <w:r>
        <w:t>3.2 Matrice d'impact</w:t>
      </w:r>
    </w:p>
    <w:p>
      <w:r>
        <w:t>Impact en cas de compromission de la confidentialité, intégrité ou disponibilité :</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440"/>
            <w:shd w:fill="00528A" w:val="clear"/>
          </w:tcPr>
          <w:p>
            <w:pPr>
              <w:jc w:val="center"/>
            </w:pPr>
            <w:r>
              <w:rPr>
                <w:b/>
                <w:color w:val="FFFFFF"/>
                <w:sz w:val="18"/>
              </w:rPr>
              <w:t>Critère</w:t>
            </w:r>
          </w:p>
        </w:tc>
        <w:tc>
          <w:tcPr>
            <w:tcW w:type="dxa" w:w="1872"/>
            <w:shd w:fill="00528A" w:val="clear"/>
          </w:tcPr>
          <w:p>
            <w:pPr>
              <w:jc w:val="center"/>
            </w:pPr>
            <w:r>
              <w:rPr>
                <w:b/>
                <w:color w:val="FFFFFF"/>
                <w:sz w:val="18"/>
              </w:rPr>
              <w:t>Négligeable (1)</w:t>
            </w:r>
          </w:p>
        </w:tc>
        <w:tc>
          <w:tcPr>
            <w:tcW w:type="dxa" w:w="1872"/>
            <w:shd w:fill="00528A" w:val="clear"/>
          </w:tcPr>
          <w:p>
            <w:pPr>
              <w:jc w:val="center"/>
            </w:pPr>
            <w:r>
              <w:rPr>
                <w:b/>
                <w:color w:val="FFFFFF"/>
                <w:sz w:val="18"/>
              </w:rPr>
              <w:t>Limité (2)</w:t>
            </w:r>
          </w:p>
        </w:tc>
        <w:tc>
          <w:tcPr>
            <w:tcW w:type="dxa" w:w="2160"/>
            <w:shd w:fill="00528A" w:val="clear"/>
          </w:tcPr>
          <w:p>
            <w:pPr>
              <w:jc w:val="center"/>
            </w:pPr>
            <w:r>
              <w:rPr>
                <w:b/>
                <w:color w:val="FFFFFF"/>
                <w:sz w:val="18"/>
              </w:rPr>
              <w:t>Important (3)</w:t>
            </w:r>
          </w:p>
        </w:tc>
        <w:tc>
          <w:tcPr>
            <w:tcW w:type="dxa" w:w="2160"/>
            <w:shd w:fill="00528A" w:val="clear"/>
          </w:tcPr>
          <w:p>
            <w:pPr>
              <w:jc w:val="center"/>
            </w:pPr>
            <w:r>
              <w:rPr>
                <w:b/>
                <w:color w:val="FFFFFF"/>
                <w:sz w:val="18"/>
              </w:rPr>
              <w:t>Critique (4)</w:t>
            </w:r>
          </w:p>
        </w:tc>
      </w:tr>
      <w:tr>
        <w:tc>
          <w:tcPr>
            <w:tcW w:type="dxa" w:w="1440"/>
          </w:tcPr>
          <w:p>
            <w:r>
              <w:rPr>
                <w:sz w:val="18"/>
              </w:rPr>
              <w:t>Confidentialité</w:t>
            </w:r>
          </w:p>
        </w:tc>
        <w:tc>
          <w:tcPr>
            <w:tcW w:type="dxa" w:w="1872"/>
          </w:tcPr>
          <w:p>
            <w:r>
              <w:rPr>
                <w:sz w:val="18"/>
              </w:rPr>
              <w:t>Aucun impact</w:t>
            </w:r>
          </w:p>
        </w:tc>
        <w:tc>
          <w:tcPr>
            <w:tcW w:type="dxa" w:w="1872"/>
          </w:tcPr>
          <w:p>
            <w:r>
              <w:rPr>
                <w:sz w:val="18"/>
              </w:rPr>
              <w:t>Gêne limitée</w:t>
            </w:r>
          </w:p>
        </w:tc>
        <w:tc>
          <w:tcPr>
            <w:tcW w:type="dxa" w:w="2160"/>
          </w:tcPr>
          <w:p>
            <w:r>
              <w:rPr>
                <w:sz w:val="18"/>
              </w:rPr>
              <w:t>Atteinte à la vie privée</w:t>
            </w:r>
          </w:p>
        </w:tc>
        <w:tc>
          <w:tcPr>
            <w:tcW w:type="dxa" w:w="2160"/>
          </w:tcPr>
          <w:p>
            <w:r>
              <w:rPr>
                <w:sz w:val="18"/>
              </w:rPr>
              <w:t>Mise en danger de personnes</w:t>
            </w:r>
          </w:p>
        </w:tc>
      </w:tr>
      <w:tr>
        <w:tc>
          <w:tcPr>
            <w:tcW w:type="dxa" w:w="1440"/>
          </w:tcPr>
          <w:p>
            <w:r>
              <w:rPr>
                <w:sz w:val="18"/>
              </w:rPr>
              <w:t>Intégrité</w:t>
            </w:r>
          </w:p>
        </w:tc>
        <w:tc>
          <w:tcPr>
            <w:tcW w:type="dxa" w:w="1872"/>
          </w:tcPr>
          <w:p>
            <w:r>
              <w:rPr>
                <w:sz w:val="18"/>
              </w:rPr>
              <w:t>Données non critiques</w:t>
            </w:r>
          </w:p>
        </w:tc>
        <w:tc>
          <w:tcPr>
            <w:tcW w:type="dxa" w:w="1872"/>
          </w:tcPr>
          <w:p>
            <w:r>
              <w:rPr>
                <w:sz w:val="18"/>
              </w:rPr>
              <w:t>Erreurs corrigeables</w:t>
            </w:r>
          </w:p>
        </w:tc>
        <w:tc>
          <w:tcPr>
            <w:tcW w:type="dxa" w:w="2160"/>
          </w:tcPr>
          <w:p>
            <w:r>
              <w:rPr>
                <w:sz w:val="18"/>
              </w:rPr>
              <w:t>Données métier altérées</w:t>
            </w:r>
          </w:p>
        </w:tc>
        <w:tc>
          <w:tcPr>
            <w:tcW w:type="dxa" w:w="2160"/>
          </w:tcPr>
          <w:p>
            <w:r>
              <w:rPr>
                <w:sz w:val="18"/>
              </w:rPr>
              <w:t>Données vitales corrompues</w:t>
            </w:r>
          </w:p>
        </w:tc>
      </w:tr>
      <w:tr>
        <w:tc>
          <w:tcPr>
            <w:tcW w:type="dxa" w:w="1440"/>
          </w:tcPr>
          <w:p>
            <w:r>
              <w:rPr>
                <w:sz w:val="18"/>
              </w:rPr>
              <w:t>Disponibilité</w:t>
            </w:r>
          </w:p>
        </w:tc>
        <w:tc>
          <w:tcPr>
            <w:tcW w:type="dxa" w:w="1872"/>
          </w:tcPr>
          <w:p>
            <w:r>
              <w:rPr>
                <w:sz w:val="18"/>
              </w:rPr>
              <w:t>&lt; 4h tolérable</w:t>
            </w:r>
          </w:p>
        </w:tc>
        <w:tc>
          <w:tcPr>
            <w:tcW w:type="dxa" w:w="1872"/>
          </w:tcPr>
          <w:p>
            <w:r>
              <w:rPr>
                <w:sz w:val="18"/>
              </w:rPr>
              <w:t>&lt; 24h tolérable</w:t>
            </w:r>
          </w:p>
        </w:tc>
        <w:tc>
          <w:tcPr>
            <w:tcW w:type="dxa" w:w="2160"/>
          </w:tcPr>
          <w:p>
            <w:r>
              <w:rPr>
                <w:sz w:val="18"/>
              </w:rPr>
              <w:t>&lt; 4h max</w:t>
            </w:r>
          </w:p>
        </w:tc>
        <w:tc>
          <w:tcPr>
            <w:tcW w:type="dxa" w:w="2160"/>
          </w:tcPr>
          <w:p>
            <w:r>
              <w:rPr>
                <w:sz w:val="18"/>
              </w:rPr>
              <w:t>Aucune interruption admise</w:t>
            </w:r>
          </w:p>
        </w:tc>
      </w:tr>
    </w:tbl>
    <w:p>
      <w:r>
        <w:br w:type="page"/>
      </w:r>
    </w:p>
    <w:p>
      <w:commentRangeStart w:id="5"/>
      <w:pPr>
        <w:pStyle w:val="Heading1"/>
      </w:pPr>
      <w:r>
        <w:t>4. Contrôle d'Accès</w:t>
      </w:r>
      <w:commentRangeEnd w:id="5"/>
      <w:r>
        <w:rPr>
          <w:rStyle w:val="CommentReference"/>
        </w:rPr>
        <w:commentReference w:id="5"/>
      </w:r>
    </w:p>
    <w:p>
      <w:pPr>
        <w:pStyle w:val="Heading2"/>
      </w:pPr>
      <w:r>
        <w:t>4.1 Principes généraux</w:t>
      </w:r>
    </w:p>
    <w:p>
      <w:pPr>
        <w:pStyle w:val="ListBullet"/>
      </w:pPr>
      <w:r>
        <w:t>Principe du moindre privilège : chaque utilisateur ne dispose que des droits strictement nécessaires à ses fonctions</w:t>
      </w:r>
    </w:p>
    <w:p>
      <w:pPr>
        <w:pStyle w:val="ListBullet"/>
      </w:pPr>
      <w:r>
        <w:t>Séparation des tâches : les fonctions critiques sont réparties entre plusieurs personnes</w:t>
      </w:r>
    </w:p>
    <w:p>
      <w:pPr>
        <w:pStyle w:val="ListBullet"/>
      </w:pPr>
      <w:r>
        <w:t>Besoin d'en connaître : l'accès aux informations est limité aux personnes ayant un besoin professionnel légitime</w:t>
      </w:r>
    </w:p>
    <w:p>
      <w:pPr>
        <w:pStyle w:val="Heading2"/>
      </w:pPr>
      <w:r>
        <w:t>4.2 Authentification</w:t>
      </w:r>
    </w:p>
    <w:tbl>
      <w:tblPr>
        <w:tblStyle w:val="TableGrid"/>
        <w:tblW w:type="auto" w:w="0"/>
        <w:jc w:val="center"/>
        <w:tblLook w:firstColumn="1" w:firstRow="1" w:lastColumn="0" w:lastRow="0" w:noHBand="0" w:noVBand="1" w:val="04A0"/>
      </w:tblPr>
      <w:tblGrid>
        <w:gridCol w:w="2880"/>
        <w:gridCol w:w="2880"/>
        <w:gridCol w:w="2880"/>
      </w:tblGrid>
      <w:tr>
        <w:tc>
          <w:tcPr>
            <w:tcW w:type="dxa" w:w="2592"/>
            <w:shd w:fill="00528A" w:val="clear"/>
          </w:tcPr>
          <w:p>
            <w:pPr>
              <w:jc w:val="center"/>
            </w:pPr>
            <w:r>
              <w:rPr>
                <w:b/>
                <w:color w:val="FFFFFF"/>
                <w:sz w:val="18"/>
              </w:rPr>
              <w:t>Exigence</w:t>
            </w:r>
          </w:p>
        </w:tc>
        <w:tc>
          <w:tcPr>
            <w:tcW w:type="dxa" w:w="4320"/>
            <w:shd w:fill="00528A" w:val="clear"/>
          </w:tcPr>
          <w:p>
            <w:pPr>
              <w:jc w:val="center"/>
            </w:pPr>
            <w:r>
              <w:rPr>
                <w:b/>
                <w:color w:val="FFFFFF"/>
                <w:sz w:val="18"/>
              </w:rPr>
              <w:t>Détail</w:t>
            </w:r>
          </w:p>
        </w:tc>
        <w:tc>
          <w:tcPr>
            <w:tcW w:type="dxa" w:w="2448"/>
            <w:shd w:fill="00528A" w:val="clear"/>
          </w:tcPr>
          <w:p>
            <w:pPr>
              <w:jc w:val="center"/>
            </w:pPr>
            <w:r>
              <w:rPr>
                <w:b/>
                <w:color w:val="FFFFFF"/>
                <w:sz w:val="18"/>
              </w:rPr>
              <w:t>Applicabilité</w:t>
            </w:r>
          </w:p>
        </w:tc>
      </w:tr>
      <w:tr>
        <w:tc>
          <w:tcPr>
            <w:tcW w:type="dxa" w:w="2592"/>
          </w:tcPr>
          <w:p>
            <w:r>
              <w:rPr>
                <w:sz w:val="18"/>
              </w:rPr>
              <w:t>Complexité des mots de passe</w:t>
            </w:r>
          </w:p>
        </w:tc>
        <w:tc>
          <w:tcPr>
            <w:tcW w:type="dxa" w:w="4320"/>
          </w:tcPr>
          <w:p>
            <w:r>
              <w:rPr>
                <w:sz w:val="18"/>
              </w:rPr>
              <w:t>Min. 12 caractères, majuscules, minuscules, chiffres, spéciaux</w:t>
            </w:r>
          </w:p>
        </w:tc>
        <w:tc>
          <w:tcPr>
            <w:tcW w:type="dxa" w:w="2448"/>
          </w:tcPr>
          <w:p>
            <w:r>
              <w:rPr>
                <w:sz w:val="18"/>
              </w:rPr>
              <w:t>Tous les comptes</w:t>
            </w:r>
          </w:p>
        </w:tc>
      </w:tr>
      <w:tr>
        <w:tc>
          <w:tcPr>
            <w:tcW w:type="dxa" w:w="2592"/>
          </w:tcPr>
          <w:p>
            <w:r>
              <w:rPr>
                <w:sz w:val="18"/>
              </w:rPr>
              <w:t>Authentification multi-facteurs (MFA)</w:t>
            </w:r>
          </w:p>
        </w:tc>
        <w:tc>
          <w:tcPr>
            <w:tcW w:type="dxa" w:w="4320"/>
          </w:tcPr>
          <w:p>
            <w:r>
              <w:rPr>
                <w:sz w:val="18"/>
              </w:rPr>
              <w:t>Obligatoire pour les accès distants et comptes à privilèges</w:t>
            </w:r>
          </w:p>
        </w:tc>
        <w:tc>
          <w:tcPr>
            <w:tcW w:type="dxa" w:w="2448"/>
          </w:tcPr>
          <w:p>
            <w:r>
              <w:rPr>
                <w:sz w:val="18"/>
              </w:rPr>
              <w:t>VPN, admin, cloud</w:t>
            </w:r>
          </w:p>
        </w:tc>
      </w:tr>
      <w:tr>
        <w:tc>
          <w:tcPr>
            <w:tcW w:type="dxa" w:w="2592"/>
          </w:tcPr>
          <w:p>
            <w:r>
              <w:rPr>
                <w:sz w:val="18"/>
              </w:rPr>
              <w:t>Verrouillage de compte</w:t>
            </w:r>
          </w:p>
        </w:tc>
        <w:tc>
          <w:tcPr>
            <w:tcW w:type="dxa" w:w="4320"/>
          </w:tcPr>
          <w:p>
            <w:r>
              <w:rPr>
                <w:sz w:val="18"/>
              </w:rPr>
              <w:t>Après 5 tentatives échouées, verrouillage de 30 minutes</w:t>
            </w:r>
          </w:p>
        </w:tc>
        <w:tc>
          <w:tcPr>
            <w:tcW w:type="dxa" w:w="2448"/>
          </w:tcPr>
          <w:p>
            <w:r>
              <w:rPr>
                <w:sz w:val="18"/>
              </w:rPr>
              <w:t>Tous les comptes</w:t>
            </w:r>
          </w:p>
        </w:tc>
      </w:tr>
      <w:tr>
        <w:tc>
          <w:tcPr>
            <w:tcW w:type="dxa" w:w="2592"/>
          </w:tcPr>
          <w:p>
            <w:r>
              <w:rPr>
                <w:sz w:val="18"/>
              </w:rPr>
              <w:t>Renouvellement</w:t>
            </w:r>
          </w:p>
        </w:tc>
        <w:tc>
          <w:tcPr>
            <w:tcW w:type="dxa" w:w="4320"/>
          </w:tcPr>
          <w:p>
            <w:r>
              <w:rPr>
                <w:sz w:val="18"/>
              </w:rPr>
              <w:t>Tous les 90 jours pour les comptes standards, 60 jours pour les comptes admin</w:t>
            </w:r>
          </w:p>
        </w:tc>
        <w:tc>
          <w:tcPr>
            <w:tcW w:type="dxa" w:w="2448"/>
          </w:tcPr>
          <w:p>
            <w:r>
              <w:rPr>
                <w:sz w:val="18"/>
              </w:rPr>
              <w:t>Tous les comptes</w:t>
            </w:r>
          </w:p>
        </w:tc>
      </w:tr>
    </w:tbl>
    <w:p>
      <w:pPr>
        <w:pStyle w:val="Heading2"/>
      </w:pPr>
      <w:r>
        <w:t>4.3 Revue des droits d'accès</w:t>
      </w:r>
    </w:p>
    <w:p>
      <w:r>
        <w:t>Une revue des droits d'accès est effectuée trimestriellement par les responsables applicatifs, et annuellement de manière exhaustive par le RSSI. Les comptes inactifs depuis plus de 90 jours sont automatiquement désactivés.</w:t>
      </w:r>
    </w:p>
    <w:p>
      <w:r>
        <w:br w:type="page"/>
      </w:r>
    </w:p>
    <w:p>
      <w:commentRangeStart w:id="6"/>
      <w:pPr>
        <w:pStyle w:val="Heading1"/>
      </w:pPr>
      <w:r>
        <w:t>5. Sécurité des Réseaux</w:t>
      </w:r>
      <w:commentRangeEnd w:id="6"/>
      <w:r>
        <w:rPr>
          <w:rStyle w:val="CommentReference"/>
        </w:rPr>
        <w:commentReference w:id="6"/>
      </w:r>
    </w:p>
    <w:p>
      <w:pPr>
        <w:pStyle w:val="Heading2"/>
      </w:pPr>
      <w:r>
        <w:t>5.1 Segmentation réseau</w:t>
      </w:r>
    </w:p>
    <w:p>
      <w:r>
        <w:t>Le réseau de l'entreprise est segmenté en zones de sécurité distinctes :</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1440"/>
            <w:shd w:fill="00528A" w:val="clear"/>
          </w:tcPr>
          <w:p>
            <w:pPr>
              <w:jc w:val="center"/>
            </w:pPr>
            <w:r>
              <w:rPr>
                <w:b/>
                <w:color w:val="FFFFFF"/>
                <w:sz w:val="18"/>
              </w:rPr>
              <w:t>Zone</w:t>
            </w:r>
          </w:p>
        </w:tc>
        <w:tc>
          <w:tcPr>
            <w:tcW w:type="dxa" w:w="3168"/>
            <w:shd w:fill="00528A" w:val="clear"/>
          </w:tcPr>
          <w:p>
            <w:pPr>
              <w:jc w:val="center"/>
            </w:pPr>
            <w:r>
              <w:rPr>
                <w:b/>
                <w:color w:val="FFFFFF"/>
                <w:sz w:val="18"/>
              </w:rPr>
              <w:t>Description</w:t>
            </w:r>
          </w:p>
        </w:tc>
        <w:tc>
          <w:tcPr>
            <w:tcW w:type="dxa" w:w="1440"/>
            <w:shd w:fill="00528A" w:val="clear"/>
          </w:tcPr>
          <w:p>
            <w:pPr>
              <w:jc w:val="center"/>
            </w:pPr>
            <w:r>
              <w:rPr>
                <w:b/>
                <w:color w:val="FFFFFF"/>
                <w:sz w:val="18"/>
              </w:rPr>
              <w:t>Niveau de confiance</w:t>
            </w:r>
          </w:p>
        </w:tc>
        <w:tc>
          <w:tcPr>
            <w:tcW w:type="dxa" w:w="3312"/>
            <w:shd w:fill="00528A" w:val="clear"/>
          </w:tcPr>
          <w:p>
            <w:pPr>
              <w:jc w:val="center"/>
            </w:pPr>
            <w:r>
              <w:rPr>
                <w:b/>
                <w:color w:val="FFFFFF"/>
                <w:sz w:val="18"/>
              </w:rPr>
              <w:t>Contrôles</w:t>
            </w:r>
          </w:p>
        </w:tc>
      </w:tr>
      <w:tr>
        <w:tc>
          <w:tcPr>
            <w:tcW w:type="dxa" w:w="1440"/>
          </w:tcPr>
          <w:p>
            <w:r>
              <w:rPr>
                <w:sz w:val="18"/>
              </w:rPr>
              <w:t>DMZ</w:t>
            </w:r>
          </w:p>
        </w:tc>
        <w:tc>
          <w:tcPr>
            <w:tcW w:type="dxa" w:w="3168"/>
          </w:tcPr>
          <w:p>
            <w:r>
              <w:rPr>
                <w:sz w:val="18"/>
              </w:rPr>
              <w:t>Services exposés sur Internet</w:t>
            </w:r>
          </w:p>
        </w:tc>
        <w:tc>
          <w:tcPr>
            <w:tcW w:type="dxa" w:w="1440"/>
          </w:tcPr>
          <w:p>
            <w:r>
              <w:rPr>
                <w:sz w:val="18"/>
              </w:rPr>
              <w:t>Non fiable</w:t>
            </w:r>
          </w:p>
        </w:tc>
        <w:tc>
          <w:tcPr>
            <w:tcW w:type="dxa" w:w="3312"/>
          </w:tcPr>
          <w:p>
            <w:r>
              <w:rPr>
                <w:sz w:val="18"/>
              </w:rPr>
              <w:t>WAF, reverse proxy, IDS</w:t>
            </w:r>
          </w:p>
        </w:tc>
      </w:tr>
      <w:tr>
        <w:tc>
          <w:tcPr>
            <w:tcW w:type="dxa" w:w="1440"/>
          </w:tcPr>
          <w:p>
            <w:r>
              <w:rPr>
                <w:sz w:val="18"/>
              </w:rPr>
              <w:t>Production</w:t>
            </w:r>
          </w:p>
        </w:tc>
        <w:tc>
          <w:tcPr>
            <w:tcW w:type="dxa" w:w="3168"/>
          </w:tcPr>
          <w:p>
            <w:r>
              <w:rPr>
                <w:sz w:val="18"/>
              </w:rPr>
              <w:t>Serveurs applicatifs et bases de données</w:t>
            </w:r>
          </w:p>
        </w:tc>
        <w:tc>
          <w:tcPr>
            <w:tcW w:type="dxa" w:w="1440"/>
          </w:tcPr>
          <w:p>
            <w:r>
              <w:rPr>
                <w:sz w:val="18"/>
              </w:rPr>
              <w:t>Restreint</w:t>
            </w:r>
          </w:p>
        </w:tc>
        <w:tc>
          <w:tcPr>
            <w:tcW w:type="dxa" w:w="3312"/>
          </w:tcPr>
          <w:p>
            <w:r>
              <w:rPr>
                <w:sz w:val="18"/>
              </w:rPr>
              <w:t>Firewall, VLAN, monitoring</w:t>
            </w:r>
          </w:p>
        </w:tc>
      </w:tr>
      <w:tr>
        <w:tc>
          <w:tcPr>
            <w:tcW w:type="dxa" w:w="1440"/>
          </w:tcPr>
          <w:p>
            <w:r>
              <w:rPr>
                <w:sz w:val="18"/>
              </w:rPr>
              <w:t>Administration</w:t>
            </w:r>
          </w:p>
        </w:tc>
        <w:tc>
          <w:tcPr>
            <w:tcW w:type="dxa" w:w="3168"/>
          </w:tcPr>
          <w:p>
            <w:r>
              <w:rPr>
                <w:sz w:val="18"/>
              </w:rPr>
              <w:t>Serveurs de gestion et supervision</w:t>
            </w:r>
          </w:p>
        </w:tc>
        <w:tc>
          <w:tcPr>
            <w:tcW w:type="dxa" w:w="1440"/>
          </w:tcPr>
          <w:p>
            <w:r>
              <w:rPr>
                <w:sz w:val="18"/>
              </w:rPr>
              <w:t>Élevé</w:t>
            </w:r>
          </w:p>
        </w:tc>
        <w:tc>
          <w:tcPr>
            <w:tcW w:type="dxa" w:w="3312"/>
          </w:tcPr>
          <w:p>
            <w:r>
              <w:rPr>
                <w:sz w:val="18"/>
              </w:rPr>
              <w:t>Accès PAM, bastion, journalisation</w:t>
            </w:r>
          </w:p>
        </w:tc>
      </w:tr>
      <w:tr>
        <w:tc>
          <w:tcPr>
            <w:tcW w:type="dxa" w:w="1440"/>
          </w:tcPr>
          <w:p>
            <w:r>
              <w:rPr>
                <w:sz w:val="18"/>
              </w:rPr>
              <w:t>Utilisateurs</w:t>
            </w:r>
          </w:p>
        </w:tc>
        <w:tc>
          <w:tcPr>
            <w:tcW w:type="dxa" w:w="3168"/>
          </w:tcPr>
          <w:p>
            <w:r>
              <w:rPr>
                <w:sz w:val="18"/>
              </w:rPr>
              <w:t>Postes de travail et imprimantes</w:t>
            </w:r>
          </w:p>
        </w:tc>
        <w:tc>
          <w:tcPr>
            <w:tcW w:type="dxa" w:w="1440"/>
          </w:tcPr>
          <w:p>
            <w:r>
              <w:rPr>
                <w:sz w:val="18"/>
              </w:rPr>
              <w:t>Standard</w:t>
            </w:r>
          </w:p>
        </w:tc>
        <w:tc>
          <w:tcPr>
            <w:tcW w:type="dxa" w:w="3312"/>
          </w:tcPr>
          <w:p>
            <w:r>
              <w:rPr>
                <w:sz w:val="18"/>
              </w:rPr>
              <w:t>NAC, segmentation, EDR</w:t>
            </w:r>
          </w:p>
        </w:tc>
      </w:tr>
      <w:tr>
        <w:tc>
          <w:tcPr>
            <w:tcW w:type="dxa" w:w="1440"/>
          </w:tcPr>
          <w:p>
            <w:r>
              <w:rPr>
                <w:sz w:val="18"/>
              </w:rPr>
              <w:t>Invités / IoT</w:t>
            </w:r>
          </w:p>
        </w:tc>
        <w:tc>
          <w:tcPr>
            <w:tcW w:type="dxa" w:w="3168"/>
          </w:tcPr>
          <w:p>
            <w:r>
              <w:rPr>
                <w:sz w:val="18"/>
              </w:rPr>
              <w:t>Réseau Wi-Fi invités, objets connectés</w:t>
            </w:r>
          </w:p>
        </w:tc>
        <w:tc>
          <w:tcPr>
            <w:tcW w:type="dxa" w:w="1440"/>
          </w:tcPr>
          <w:p>
            <w:r>
              <w:rPr>
                <w:sz w:val="18"/>
              </w:rPr>
              <w:t>Non fiable</w:t>
            </w:r>
          </w:p>
        </w:tc>
        <w:tc>
          <w:tcPr>
            <w:tcW w:type="dxa" w:w="3312"/>
          </w:tcPr>
          <w:p>
            <w:r>
              <w:rPr>
                <w:sz w:val="18"/>
              </w:rPr>
              <w:t>Isolation totale, portail captif</w:t>
            </w:r>
          </w:p>
        </w:tc>
      </w:tr>
    </w:tbl>
    <w:p>
      <w:pPr>
        <w:pStyle w:val="Heading2"/>
      </w:pPr>
      <w:r>
        <w:t>5.2 Pare-feu et filtrage</w:t>
      </w:r>
    </w:p>
    <w:p>
      <w:r>
        <w:t>Les règles de pare-feu suivent le principe de « deny all » par défaut. Tout flux autorisé doit être documenté et justifié par un besoin métier.</w:t>
      </w:r>
    </w:p>
    <w:p>
      <w:pPr>
        <w:pStyle w:val="Heading2"/>
      </w:pPr>
      <w:r>
        <w:t>5.3 Détection et prévention d'intrusions (IDS/IPS)</w:t>
      </w:r>
    </w:p>
    <w:p>
      <w:r>
        <w:t>Des sondes IDS/IPS sont déployées aux points stratégiques du réseau pour détecter et bloquer les tentatives d'intrusion. Les alertes sont corrélées par un SIEM.</w:t>
      </w:r>
    </w:p>
    <w:p>
      <w:pPr>
        <w:pStyle w:val="Heading2"/>
      </w:pPr>
      <w:r>
        <w:t>5.4 VPN et accès distants</w:t>
      </w:r>
    </w:p>
    <w:p>
      <w:r>
        <w:t>Tout accès distant au SI s'effectue via un tunnel VPN chiffré (IPsec ou WireGuard). L'authentification MFA est obligatoire pour les connexions VPN.</w:t>
      </w:r>
    </w:p>
    <w:p>
      <w:r>
        <w:br w:type="page"/>
      </w:r>
    </w:p>
    <w:p>
      <w:pPr>
        <w:pStyle w:val="Heading1"/>
      </w:pPr>
      <w:r>
        <w:t>6. Sécurité des Postes de Travail</w:t>
      </w:r>
    </w:p>
    <w:p>
      <w:pPr>
        <w:pStyle w:val="Heading2"/>
      </w:pPr>
      <w:r>
        <w:t>6.1 Durcissement (Hardening)</w:t>
      </w:r>
    </w:p>
    <w:p>
      <w:pPr>
        <w:pStyle w:val="ListBullet"/>
      </w:pPr>
      <w:r>
        <w:t>Image système standardisée (master) avec configuration sécurisée</w:t>
      </w:r>
    </w:p>
    <w:p>
      <w:pPr>
        <w:pStyle w:val="ListBullet"/>
      </w:pPr>
      <w:r>
        <w:t>Désactivation des services et ports non nécessaires</w:t>
      </w:r>
    </w:p>
    <w:p>
      <w:pPr>
        <w:pStyle w:val="ListBullet"/>
      </w:pPr>
      <w:r>
        <w:t>Politique de mise à jour automatique (patch management) sous 30 jours max pour les correctifs critiques</w:t>
      </w:r>
    </w:p>
    <w:p>
      <w:pPr>
        <w:pStyle w:val="ListBullet"/>
      </w:pPr>
      <w:r>
        <w:t>Restriction des droits administrateurs locaux</w:t>
      </w:r>
    </w:p>
    <w:p>
      <w:pPr>
        <w:pStyle w:val="Heading2"/>
      </w:pPr>
      <w:r>
        <w:t>6.2 Chiffrement</w:t>
      </w:r>
    </w:p>
    <w:p>
      <w:r>
        <w:t>Tous les postes de travail portables sont chiffrés (BitLocker/FileVault). Les clés de récupération sont stockées de manière centralisée et sécurisée.</w:t>
      </w:r>
    </w:p>
    <w:p>
      <w:pPr>
        <w:pStyle w:val="Heading2"/>
      </w:pPr>
      <w:r>
        <w:t>6.3 Protection endpoint (EDR)</w:t>
      </w:r>
    </w:p>
    <w:p>
      <w:r>
        <w:t>Un agent EDR (Endpoint Detection and Response) est déployé sur l'ensemble des postes et serveurs, assurant une détection proactive des menaces et une capacité de réponse automatisée.</w:t>
      </w:r>
    </w:p>
    <w:p>
      <w:r>
        <w:br w:type="page"/>
      </w:r>
    </w:p>
    <w:p>
      <w:commentRangeStart w:id="7"/>
      <w:pPr>
        <w:pStyle w:val="Heading1"/>
      </w:pPr>
      <w:r>
        <w:t>7. Gestion des Incidents de Sécurité</w:t>
      </w:r>
      <w:commentRangeEnd w:id="7"/>
      <w:r>
        <w:rPr>
          <w:rStyle w:val="CommentReference"/>
        </w:rPr>
        <w:commentReference w:id="7"/>
      </w:r>
    </w:p>
    <w:p>
      <w:pPr>
        <w:pStyle w:val="Heading2"/>
      </w:pPr>
      <w:r>
        <w:t>7.1 Processus de gestion des incidents</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1728"/>
            <w:shd w:fill="00528A" w:val="clear"/>
          </w:tcPr>
          <w:p>
            <w:pPr>
              <w:jc w:val="center"/>
            </w:pPr>
            <w:r>
              <w:rPr>
                <w:b/>
                <w:color w:val="FFFFFF"/>
                <w:sz w:val="18"/>
              </w:rPr>
              <w:t>Phase</w:t>
            </w:r>
          </w:p>
        </w:tc>
        <w:tc>
          <w:tcPr>
            <w:tcW w:type="dxa" w:w="4032"/>
            <w:shd w:fill="00528A" w:val="clear"/>
          </w:tcPr>
          <w:p>
            <w:pPr>
              <w:jc w:val="center"/>
            </w:pPr>
            <w:r>
              <w:rPr>
                <w:b/>
                <w:color w:val="FFFFFF"/>
                <w:sz w:val="18"/>
              </w:rPr>
              <w:t>Description</w:t>
            </w:r>
          </w:p>
        </w:tc>
        <w:tc>
          <w:tcPr>
            <w:tcW w:type="dxa" w:w="1728"/>
            <w:shd w:fill="00528A" w:val="clear"/>
          </w:tcPr>
          <w:p>
            <w:pPr>
              <w:jc w:val="center"/>
            </w:pPr>
            <w:r>
              <w:rPr>
                <w:b/>
                <w:color w:val="FFFFFF"/>
                <w:sz w:val="18"/>
              </w:rPr>
              <w:t>Responsable</w:t>
            </w:r>
          </w:p>
        </w:tc>
        <w:tc>
          <w:tcPr>
            <w:tcW w:type="dxa" w:w="1872"/>
            <w:shd w:fill="00528A" w:val="clear"/>
          </w:tcPr>
          <w:p>
            <w:pPr>
              <w:jc w:val="center"/>
            </w:pPr>
            <w:r>
              <w:rPr>
                <w:b/>
                <w:color w:val="FFFFFF"/>
                <w:sz w:val="18"/>
              </w:rPr>
              <w:t>Délai</w:t>
            </w:r>
          </w:p>
        </w:tc>
      </w:tr>
      <w:tr>
        <w:tc>
          <w:tcPr>
            <w:tcW w:type="dxa" w:w="1728"/>
          </w:tcPr>
          <w:p>
            <w:r>
              <w:rPr>
                <w:sz w:val="18"/>
              </w:rPr>
              <w:t>1. Détection</w:t>
            </w:r>
          </w:p>
        </w:tc>
        <w:tc>
          <w:tcPr>
            <w:tcW w:type="dxa" w:w="4032"/>
          </w:tcPr>
          <w:p>
            <w:r>
              <w:rPr>
                <w:sz w:val="18"/>
              </w:rPr>
              <w:t>Identification de l'incident via alertes, signalements ou monitoring</w:t>
            </w:r>
          </w:p>
        </w:tc>
        <w:tc>
          <w:tcPr>
            <w:tcW w:type="dxa" w:w="1728"/>
          </w:tcPr>
          <w:p>
            <w:r>
              <w:rPr>
                <w:sz w:val="18"/>
              </w:rPr>
              <w:t>SOC / Utilisateurs</w:t>
            </w:r>
          </w:p>
        </w:tc>
        <w:tc>
          <w:tcPr>
            <w:tcW w:type="dxa" w:w="1872"/>
          </w:tcPr>
          <w:p>
            <w:r>
              <w:rPr>
                <w:sz w:val="18"/>
              </w:rPr>
              <w:t>Immédiat</w:t>
            </w:r>
          </w:p>
        </w:tc>
      </w:tr>
      <w:tr>
        <w:tc>
          <w:tcPr>
            <w:tcW w:type="dxa" w:w="1728"/>
          </w:tcPr>
          <w:p>
            <w:r>
              <w:rPr>
                <w:sz w:val="18"/>
              </w:rPr>
              <w:t>2. Qualification</w:t>
            </w:r>
          </w:p>
        </w:tc>
        <w:tc>
          <w:tcPr>
            <w:tcW w:type="dxa" w:w="4032"/>
          </w:tcPr>
          <w:p>
            <w:r>
              <w:rPr>
                <w:sz w:val="18"/>
              </w:rPr>
              <w:t>Évaluation de la criticité et classification de l'incident</w:t>
            </w:r>
          </w:p>
        </w:tc>
        <w:tc>
          <w:tcPr>
            <w:tcW w:type="dxa" w:w="1728"/>
          </w:tcPr>
          <w:p>
            <w:r>
              <w:rPr>
                <w:sz w:val="18"/>
              </w:rPr>
              <w:t>RSSI / SOC</w:t>
            </w:r>
          </w:p>
        </w:tc>
        <w:tc>
          <w:tcPr>
            <w:tcW w:type="dxa" w:w="1872"/>
          </w:tcPr>
          <w:p>
            <w:r>
              <w:rPr>
                <w:sz w:val="18"/>
              </w:rPr>
              <w:t>&lt; 1h</w:t>
            </w:r>
          </w:p>
        </w:tc>
      </w:tr>
      <w:tr>
        <w:tc>
          <w:tcPr>
            <w:tcW w:type="dxa" w:w="1728"/>
          </w:tcPr>
          <w:p>
            <w:r>
              <w:rPr>
                <w:sz w:val="18"/>
              </w:rPr>
              <w:t>3. Confinement</w:t>
            </w:r>
          </w:p>
        </w:tc>
        <w:tc>
          <w:tcPr>
            <w:tcW w:type="dxa" w:w="4032"/>
          </w:tcPr>
          <w:p>
            <w:r>
              <w:rPr>
                <w:sz w:val="18"/>
              </w:rPr>
              <w:t>Mesures immédiates pour limiter la propagation</w:t>
            </w:r>
          </w:p>
        </w:tc>
        <w:tc>
          <w:tcPr>
            <w:tcW w:type="dxa" w:w="1728"/>
          </w:tcPr>
          <w:p>
            <w:r>
              <w:rPr>
                <w:sz w:val="18"/>
              </w:rPr>
              <w:t>Équipe technique</w:t>
            </w:r>
          </w:p>
        </w:tc>
        <w:tc>
          <w:tcPr>
            <w:tcW w:type="dxa" w:w="1872"/>
          </w:tcPr>
          <w:p>
            <w:r>
              <w:rPr>
                <w:sz w:val="18"/>
              </w:rPr>
              <w:t>&lt; 4h</w:t>
            </w:r>
          </w:p>
        </w:tc>
      </w:tr>
      <w:tr>
        <w:tc>
          <w:tcPr>
            <w:tcW w:type="dxa" w:w="1728"/>
          </w:tcPr>
          <w:p>
            <w:r>
              <w:rPr>
                <w:sz w:val="18"/>
              </w:rPr>
              <w:t>4. Éradication</w:t>
            </w:r>
          </w:p>
        </w:tc>
        <w:tc>
          <w:tcPr>
            <w:tcW w:type="dxa" w:w="4032"/>
          </w:tcPr>
          <w:p>
            <w:r>
              <w:rPr>
                <w:sz w:val="18"/>
              </w:rPr>
              <w:t>Suppression de la cause racine de l'incident</w:t>
            </w:r>
          </w:p>
        </w:tc>
        <w:tc>
          <w:tcPr>
            <w:tcW w:type="dxa" w:w="1728"/>
          </w:tcPr>
          <w:p>
            <w:r>
              <w:rPr>
                <w:sz w:val="18"/>
              </w:rPr>
              <w:t>Équipe technique</w:t>
            </w:r>
          </w:p>
        </w:tc>
        <w:tc>
          <w:tcPr>
            <w:tcW w:type="dxa" w:w="1872"/>
          </w:tcPr>
          <w:p>
            <w:r>
              <w:rPr>
                <w:sz w:val="18"/>
              </w:rPr>
              <w:t>Variable</w:t>
            </w:r>
          </w:p>
        </w:tc>
      </w:tr>
      <w:tr>
        <w:tc>
          <w:tcPr>
            <w:tcW w:type="dxa" w:w="1728"/>
          </w:tcPr>
          <w:p>
            <w:r>
              <w:rPr>
                <w:sz w:val="18"/>
              </w:rPr>
              <w:t>5. Remédiation</w:t>
            </w:r>
          </w:p>
        </w:tc>
        <w:tc>
          <w:tcPr>
            <w:tcW w:type="dxa" w:w="4032"/>
          </w:tcPr>
          <w:p>
            <w:r>
              <w:rPr>
                <w:sz w:val="18"/>
              </w:rPr>
              <w:t>Restauration des systèmes et services affectés</w:t>
            </w:r>
          </w:p>
        </w:tc>
        <w:tc>
          <w:tcPr>
            <w:tcW w:type="dxa" w:w="1728"/>
          </w:tcPr>
          <w:p>
            <w:r>
              <w:rPr>
                <w:sz w:val="18"/>
              </w:rPr>
              <w:t>DSI / Métiers</w:t>
            </w:r>
          </w:p>
        </w:tc>
        <w:tc>
          <w:tcPr>
            <w:tcW w:type="dxa" w:w="1872"/>
          </w:tcPr>
          <w:p>
            <w:r>
              <w:rPr>
                <w:sz w:val="18"/>
              </w:rPr>
              <w:t>Selon PRA</w:t>
            </w:r>
          </w:p>
        </w:tc>
      </w:tr>
      <w:tr>
        <w:tc>
          <w:tcPr>
            <w:tcW w:type="dxa" w:w="1728"/>
          </w:tcPr>
          <w:p>
            <w:r>
              <w:rPr>
                <w:sz w:val="18"/>
              </w:rPr>
              <w:t>6. Retour d'expérience</w:t>
            </w:r>
          </w:p>
        </w:tc>
        <w:tc>
          <w:tcPr>
            <w:tcW w:type="dxa" w:w="4032"/>
          </w:tcPr>
          <w:p>
            <w:r>
              <w:rPr>
                <w:sz w:val="18"/>
              </w:rPr>
              <w:t>Analyse post-incident, mesures correctives, mise à jour de la documentation</w:t>
            </w:r>
          </w:p>
        </w:tc>
        <w:tc>
          <w:tcPr>
            <w:tcW w:type="dxa" w:w="1728"/>
          </w:tcPr>
          <w:p>
            <w:r>
              <w:rPr>
                <w:sz w:val="18"/>
              </w:rPr>
              <w:t>RSSI</w:t>
            </w:r>
          </w:p>
        </w:tc>
        <w:tc>
          <w:tcPr>
            <w:tcW w:type="dxa" w:w="1872"/>
          </w:tcPr>
          <w:p>
            <w:r>
              <w:rPr>
                <w:sz w:val="18"/>
              </w:rPr>
              <w:t>&lt; 2 semaines</w:t>
            </w:r>
          </w:p>
        </w:tc>
      </w:tr>
    </w:tbl>
    <w:p>
      <w:pPr>
        <w:pStyle w:val="Heading2"/>
      </w:pPr>
      <w:r>
        <w:t>7.2 Classification des incidents</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864"/>
            <w:shd w:fill="00528A" w:val="clear"/>
          </w:tcPr>
          <w:p>
            <w:pPr>
              <w:jc w:val="center"/>
            </w:pPr>
            <w:r>
              <w:rPr>
                <w:b/>
                <w:color w:val="FFFFFF"/>
                <w:sz w:val="18"/>
              </w:rPr>
              <w:t>Niveau</w:t>
            </w:r>
          </w:p>
        </w:tc>
        <w:tc>
          <w:tcPr>
            <w:tcW w:type="dxa" w:w="1296"/>
            <w:shd w:fill="00528A" w:val="clear"/>
          </w:tcPr>
          <w:p>
            <w:pPr>
              <w:jc w:val="center"/>
            </w:pPr>
            <w:r>
              <w:rPr>
                <w:b/>
                <w:color w:val="FFFFFF"/>
                <w:sz w:val="18"/>
              </w:rPr>
              <w:t>Criticité</w:t>
            </w:r>
          </w:p>
        </w:tc>
        <w:tc>
          <w:tcPr>
            <w:tcW w:type="dxa" w:w="4032"/>
            <w:shd w:fill="00528A" w:val="clear"/>
          </w:tcPr>
          <w:p>
            <w:pPr>
              <w:jc w:val="center"/>
            </w:pPr>
            <w:r>
              <w:rPr>
                <w:b/>
                <w:color w:val="FFFFFF"/>
                <w:sz w:val="18"/>
              </w:rPr>
              <w:t>Exemples</w:t>
            </w:r>
          </w:p>
        </w:tc>
        <w:tc>
          <w:tcPr>
            <w:tcW w:type="dxa" w:w="3168"/>
            <w:shd w:fill="00528A" w:val="clear"/>
          </w:tcPr>
          <w:p>
            <w:pPr>
              <w:jc w:val="center"/>
            </w:pPr>
            <w:r>
              <w:rPr>
                <w:b/>
                <w:color w:val="FFFFFF"/>
                <w:sz w:val="18"/>
              </w:rPr>
              <w:t>Escalade</w:t>
            </w:r>
          </w:p>
        </w:tc>
      </w:tr>
      <w:tr>
        <w:tc>
          <w:tcPr>
            <w:tcW w:type="dxa" w:w="864"/>
          </w:tcPr>
          <w:p>
            <w:r>
              <w:rPr>
                <w:sz w:val="18"/>
              </w:rPr>
              <w:t>P1</w:t>
            </w:r>
          </w:p>
        </w:tc>
        <w:tc>
          <w:tcPr>
            <w:tcW w:type="dxa" w:w="1296"/>
          </w:tcPr>
          <w:p>
            <w:r>
              <w:rPr>
                <w:sz w:val="18"/>
              </w:rPr>
              <w:t>Critique</w:t>
            </w:r>
          </w:p>
        </w:tc>
        <w:tc>
          <w:tcPr>
            <w:tcW w:type="dxa" w:w="4032"/>
          </w:tcPr>
          <w:p>
            <w:r>
              <w:rPr>
                <w:sz w:val="18"/>
              </w:rPr>
              <w:t>Ransomware, fuite de données massives, indisponibilité totale</w:t>
            </w:r>
          </w:p>
        </w:tc>
        <w:tc>
          <w:tcPr>
            <w:tcW w:type="dxa" w:w="3168"/>
          </w:tcPr>
          <w:p>
            <w:r>
              <w:rPr>
                <w:sz w:val="18"/>
              </w:rPr>
              <w:t>Direction + CERT + ANSSI si applicable</w:t>
            </w:r>
          </w:p>
        </w:tc>
      </w:tr>
      <w:tr>
        <w:tc>
          <w:tcPr>
            <w:tcW w:type="dxa" w:w="864"/>
          </w:tcPr>
          <w:p>
            <w:r>
              <w:rPr>
                <w:sz w:val="18"/>
              </w:rPr>
              <w:t>P2</w:t>
            </w:r>
          </w:p>
        </w:tc>
        <w:tc>
          <w:tcPr>
            <w:tcW w:type="dxa" w:w="1296"/>
          </w:tcPr>
          <w:p>
            <w:r>
              <w:rPr>
                <w:sz w:val="18"/>
              </w:rPr>
              <w:t>Majeur</w:t>
            </w:r>
          </w:p>
        </w:tc>
        <w:tc>
          <w:tcPr>
            <w:tcW w:type="dxa" w:w="4032"/>
          </w:tcPr>
          <w:p>
            <w:r>
              <w:rPr>
                <w:sz w:val="18"/>
              </w:rPr>
              <w:t>Compromission d'un serveur, fuite de données limitée</w:t>
            </w:r>
          </w:p>
        </w:tc>
        <w:tc>
          <w:tcPr>
            <w:tcW w:type="dxa" w:w="3168"/>
          </w:tcPr>
          <w:p>
            <w:r>
              <w:rPr>
                <w:sz w:val="18"/>
              </w:rPr>
              <w:t>RSSI + DSI</w:t>
            </w:r>
          </w:p>
        </w:tc>
      </w:tr>
      <w:tr>
        <w:tc>
          <w:tcPr>
            <w:tcW w:type="dxa" w:w="864"/>
          </w:tcPr>
          <w:p>
            <w:r>
              <w:rPr>
                <w:sz w:val="18"/>
              </w:rPr>
              <w:t>P3</w:t>
            </w:r>
          </w:p>
        </w:tc>
        <w:tc>
          <w:tcPr>
            <w:tcW w:type="dxa" w:w="1296"/>
          </w:tcPr>
          <w:p>
            <w:r>
              <w:rPr>
                <w:sz w:val="18"/>
              </w:rPr>
              <w:t>Modéré</w:t>
            </w:r>
          </w:p>
        </w:tc>
        <w:tc>
          <w:tcPr>
            <w:tcW w:type="dxa" w:w="4032"/>
          </w:tcPr>
          <w:p>
            <w:r>
              <w:rPr>
                <w:sz w:val="18"/>
              </w:rPr>
              <w:t>Malware isolé, tentative de phishing réussie</w:t>
            </w:r>
          </w:p>
        </w:tc>
        <w:tc>
          <w:tcPr>
            <w:tcW w:type="dxa" w:w="3168"/>
          </w:tcPr>
          <w:p>
            <w:r>
              <w:rPr>
                <w:sz w:val="18"/>
              </w:rPr>
              <w:t>RSSI</w:t>
            </w:r>
          </w:p>
        </w:tc>
      </w:tr>
      <w:tr>
        <w:tc>
          <w:tcPr>
            <w:tcW w:type="dxa" w:w="864"/>
          </w:tcPr>
          <w:p>
            <w:r>
              <w:rPr>
                <w:sz w:val="18"/>
              </w:rPr>
              <w:t>P4</w:t>
            </w:r>
          </w:p>
        </w:tc>
        <w:tc>
          <w:tcPr>
            <w:tcW w:type="dxa" w:w="1296"/>
          </w:tcPr>
          <w:p>
            <w:r>
              <w:rPr>
                <w:sz w:val="18"/>
              </w:rPr>
              <w:t>Mineur</w:t>
            </w:r>
          </w:p>
        </w:tc>
        <w:tc>
          <w:tcPr>
            <w:tcW w:type="dxa" w:w="4032"/>
          </w:tcPr>
          <w:p>
            <w:r>
              <w:rPr>
                <w:sz w:val="18"/>
              </w:rPr>
              <w:t>Spam, tentative de phishing bloquée</w:t>
            </w:r>
          </w:p>
        </w:tc>
        <w:tc>
          <w:tcPr>
            <w:tcW w:type="dxa" w:w="3168"/>
          </w:tcPr>
          <w:p>
            <w:r>
              <w:rPr>
                <w:sz w:val="18"/>
              </w:rPr>
              <w:t>SOC</w:t>
            </w:r>
          </w:p>
        </w:tc>
      </w:tr>
    </w:tbl>
    <w:p>
      <w:pPr>
        <w:pStyle w:val="Heading2"/>
      </w:pPr>
      <w:r>
        <w:t>7.3 Communication de crise</w:t>
      </w:r>
    </w:p>
    <w:p>
      <w:r>
        <w:t>En cas d'incident majeur (P1/P2), un plan de communication est activé. Les notifications RGPD à la CNIL doivent être effectuées dans les 72 heures suivant la découverte d'une violation de données personnelles.</w:t>
      </w:r>
    </w:p>
    <w:p>
      <w:r>
        <w:br w:type="page"/>
      </w:r>
    </w:p>
    <w:p>
      <w:commentRangeStart w:id="8"/>
      <w:pPr>
        <w:pStyle w:val="Heading1"/>
      </w:pPr>
      <w:r>
        <w:t>8. Continuité d'Activité</w:t>
      </w:r>
      <w:commentRangeEnd w:id="8"/>
      <w:r>
        <w:rPr>
          <w:rStyle w:val="CommentReference"/>
        </w:rPr>
        <w:commentReference w:id="8"/>
      </w:r>
    </w:p>
    <w:p>
      <w:pPr>
        <w:pStyle w:val="Heading2"/>
      </w:pPr>
      <w:r>
        <w:t>8.1 Plan de Continuité d'Activité (PCA)</w:t>
      </w:r>
    </w:p>
    <w:p>
      <w:r>
        <w:t>Le PCA vise à maintenir les activités essentielles de l'organisation en cas de sinistre majeur. Il est testé au minimum une fois par an.</w:t>
      </w:r>
    </w:p>
    <w:p>
      <w:pPr>
        <w:pStyle w:val="Heading2"/>
      </w:pPr>
      <w:r>
        <w:t>8.2 Plan de Reprise d'Activité (PRA)</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2160"/>
            <w:shd w:fill="00528A" w:val="clear"/>
          </w:tcPr>
          <w:p>
            <w:pPr>
              <w:jc w:val="center"/>
            </w:pPr>
            <w:r>
              <w:rPr>
                <w:b/>
                <w:color w:val="FFFFFF"/>
                <w:sz w:val="18"/>
              </w:rPr>
              <w:t>Application / Service</w:t>
            </w:r>
          </w:p>
        </w:tc>
        <w:tc>
          <w:tcPr>
            <w:tcW w:type="dxa" w:w="1296"/>
            <w:shd w:fill="00528A" w:val="clear"/>
          </w:tcPr>
          <w:p>
            <w:pPr>
              <w:jc w:val="center"/>
            </w:pPr>
            <w:r>
              <w:rPr>
                <w:b/>
                <w:color w:val="FFFFFF"/>
                <w:sz w:val="18"/>
              </w:rPr>
              <w:t>Criticité</w:t>
            </w:r>
          </w:p>
        </w:tc>
        <w:tc>
          <w:tcPr>
            <w:tcW w:type="dxa" w:w="1008"/>
            <w:shd w:fill="00528A" w:val="clear"/>
          </w:tcPr>
          <w:p>
            <w:pPr>
              <w:jc w:val="center"/>
            </w:pPr>
            <w:r>
              <w:rPr>
                <w:b/>
                <w:color w:val="FFFFFF"/>
                <w:sz w:val="18"/>
              </w:rPr>
              <w:t>RTO</w:t>
            </w:r>
          </w:p>
        </w:tc>
        <w:tc>
          <w:tcPr>
            <w:tcW w:type="dxa" w:w="1008"/>
            <w:shd w:fill="00528A" w:val="clear"/>
          </w:tcPr>
          <w:p>
            <w:pPr>
              <w:jc w:val="center"/>
            </w:pPr>
            <w:r>
              <w:rPr>
                <w:b/>
                <w:color w:val="FFFFFF"/>
                <w:sz w:val="18"/>
              </w:rPr>
              <w:t>RPO</w:t>
            </w:r>
          </w:p>
        </w:tc>
        <w:tc>
          <w:tcPr>
            <w:tcW w:type="dxa" w:w="3888"/>
            <w:shd w:fill="00528A" w:val="clear"/>
          </w:tcPr>
          <w:p>
            <w:pPr>
              <w:jc w:val="center"/>
            </w:pPr>
            <w:r>
              <w:rPr>
                <w:b/>
                <w:color w:val="FFFFFF"/>
                <w:sz w:val="18"/>
              </w:rPr>
              <w:t>Solution de reprise</w:t>
            </w:r>
          </w:p>
        </w:tc>
      </w:tr>
      <w:tr>
        <w:tc>
          <w:tcPr>
            <w:tcW w:type="dxa" w:w="2160"/>
          </w:tcPr>
          <w:p>
            <w:r>
              <w:rPr>
                <w:sz w:val="18"/>
              </w:rPr>
              <w:t>[ERP / Application métier]</w:t>
            </w:r>
          </w:p>
        </w:tc>
        <w:tc>
          <w:tcPr>
            <w:tcW w:type="dxa" w:w="1296"/>
          </w:tcPr>
          <w:p>
            <w:r>
              <w:rPr>
                <w:sz w:val="18"/>
              </w:rPr>
              <w:t>Critique</w:t>
            </w:r>
          </w:p>
        </w:tc>
        <w:tc>
          <w:tcPr>
            <w:tcW w:type="dxa" w:w="1008"/>
          </w:tcPr>
          <w:p>
            <w:r>
              <w:rPr>
                <w:sz w:val="18"/>
              </w:rPr>
              <w:t>4h</w:t>
            </w:r>
          </w:p>
        </w:tc>
        <w:tc>
          <w:tcPr>
            <w:tcW w:type="dxa" w:w="1008"/>
          </w:tcPr>
          <w:p>
            <w:r>
              <w:rPr>
                <w:sz w:val="18"/>
              </w:rPr>
              <w:t>1h</w:t>
            </w:r>
          </w:p>
        </w:tc>
        <w:tc>
          <w:tcPr>
            <w:tcW w:type="dxa" w:w="3888"/>
          </w:tcPr>
          <w:p>
            <w:r>
              <w:rPr>
                <w:sz w:val="18"/>
              </w:rPr>
              <w:t>Cluster actif/passif + réplication synchrone</w:t>
            </w:r>
          </w:p>
        </w:tc>
      </w:tr>
      <w:tr>
        <w:tc>
          <w:tcPr>
            <w:tcW w:type="dxa" w:w="2160"/>
          </w:tcPr>
          <w:p>
            <w:r>
              <w:rPr>
                <w:sz w:val="18"/>
              </w:rPr>
              <w:t>[Messagerie]</w:t>
            </w:r>
          </w:p>
        </w:tc>
        <w:tc>
          <w:tcPr>
            <w:tcW w:type="dxa" w:w="1296"/>
          </w:tcPr>
          <w:p>
            <w:r>
              <w:rPr>
                <w:sz w:val="18"/>
              </w:rPr>
              <w:t>Élevée</w:t>
            </w:r>
          </w:p>
        </w:tc>
        <w:tc>
          <w:tcPr>
            <w:tcW w:type="dxa" w:w="1008"/>
          </w:tcPr>
          <w:p>
            <w:r>
              <w:rPr>
                <w:sz w:val="18"/>
              </w:rPr>
              <w:t>8h</w:t>
            </w:r>
          </w:p>
        </w:tc>
        <w:tc>
          <w:tcPr>
            <w:tcW w:type="dxa" w:w="1008"/>
          </w:tcPr>
          <w:p>
            <w:r>
              <w:rPr>
                <w:sz w:val="18"/>
              </w:rPr>
              <w:t>4h</w:t>
            </w:r>
          </w:p>
        </w:tc>
        <w:tc>
          <w:tcPr>
            <w:tcW w:type="dxa" w:w="3888"/>
          </w:tcPr>
          <w:p>
            <w:r>
              <w:rPr>
                <w:sz w:val="18"/>
              </w:rPr>
              <w:t>Sauvegarde cloud + bascule DNS</w:t>
            </w:r>
          </w:p>
        </w:tc>
      </w:tr>
      <w:tr>
        <w:tc>
          <w:tcPr>
            <w:tcW w:type="dxa" w:w="2160"/>
          </w:tcPr>
          <w:p>
            <w:r>
              <w:rPr>
                <w:sz w:val="18"/>
              </w:rPr>
              <w:t>[Site web]</w:t>
            </w:r>
          </w:p>
        </w:tc>
        <w:tc>
          <w:tcPr>
            <w:tcW w:type="dxa" w:w="1296"/>
          </w:tcPr>
          <w:p>
            <w:r>
              <w:rPr>
                <w:sz w:val="18"/>
              </w:rPr>
              <w:t>Modérée</w:t>
            </w:r>
          </w:p>
        </w:tc>
        <w:tc>
          <w:tcPr>
            <w:tcW w:type="dxa" w:w="1008"/>
          </w:tcPr>
          <w:p>
            <w:r>
              <w:rPr>
                <w:sz w:val="18"/>
              </w:rPr>
              <w:t>24h</w:t>
            </w:r>
          </w:p>
        </w:tc>
        <w:tc>
          <w:tcPr>
            <w:tcW w:type="dxa" w:w="1008"/>
          </w:tcPr>
          <w:p>
            <w:r>
              <w:rPr>
                <w:sz w:val="18"/>
              </w:rPr>
              <w:t>24h</w:t>
            </w:r>
          </w:p>
        </w:tc>
        <w:tc>
          <w:tcPr>
            <w:tcW w:type="dxa" w:w="3888"/>
          </w:tcPr>
          <w:p>
            <w:r>
              <w:rPr>
                <w:sz w:val="18"/>
              </w:rPr>
              <w:t>CDN + backup quotidien</w:t>
            </w:r>
          </w:p>
        </w:tc>
      </w:tr>
      <w:tr>
        <w:tc>
          <w:tcPr>
            <w:tcW w:type="dxa" w:w="2160"/>
          </w:tcPr>
          <w:p>
            <w:r>
              <w:rPr>
                <w:sz w:val="18"/>
              </w:rPr>
              <w:t>[Fichiers partagés]</w:t>
            </w:r>
          </w:p>
        </w:tc>
        <w:tc>
          <w:tcPr>
            <w:tcW w:type="dxa" w:w="1296"/>
          </w:tcPr>
          <w:p>
            <w:r>
              <w:rPr>
                <w:sz w:val="18"/>
              </w:rPr>
              <w:t>Élevée</w:t>
            </w:r>
          </w:p>
        </w:tc>
        <w:tc>
          <w:tcPr>
            <w:tcW w:type="dxa" w:w="1008"/>
          </w:tcPr>
          <w:p>
            <w:r>
              <w:rPr>
                <w:sz w:val="18"/>
              </w:rPr>
              <w:t>4h</w:t>
            </w:r>
          </w:p>
        </w:tc>
        <w:tc>
          <w:tcPr>
            <w:tcW w:type="dxa" w:w="1008"/>
          </w:tcPr>
          <w:p>
            <w:r>
              <w:rPr>
                <w:sz w:val="18"/>
              </w:rPr>
              <w:t>1h</w:t>
            </w:r>
          </w:p>
        </w:tc>
        <w:tc>
          <w:tcPr>
            <w:tcW w:type="dxa" w:w="3888"/>
          </w:tcPr>
          <w:p>
            <w:r>
              <w:rPr>
                <w:sz w:val="18"/>
              </w:rPr>
              <w:t>NAS répliqué + snapshots</w:t>
            </w:r>
          </w:p>
        </w:tc>
      </w:tr>
    </w:tbl>
    <w:p>
      <w:pPr>
        <w:pStyle w:val="Heading2"/>
      </w:pPr>
      <w:r>
        <w:t>8.3 Tests de continuité</w:t>
      </w:r>
    </w:p>
    <w:p>
      <w:r>
        <w:t>Des tests de bascule sont effectués au minimum annuellement, incluant :</w:t>
      </w:r>
    </w:p>
    <w:p>
      <w:pPr>
        <w:pStyle w:val="ListBullet"/>
      </w:pPr>
      <w:r>
        <w:t>Test de restauration des sauvegardes</w:t>
      </w:r>
    </w:p>
    <w:p>
      <w:pPr>
        <w:pStyle w:val="ListBullet"/>
      </w:pPr>
      <w:r>
        <w:t>Test de bascule sur le site de reprise</w:t>
      </w:r>
    </w:p>
    <w:p>
      <w:pPr>
        <w:pStyle w:val="ListBullet"/>
      </w:pPr>
      <w:r>
        <w:t>Exercice de gestion de crise avec la direction</w:t>
      </w:r>
    </w:p>
    <w:p>
      <w:pPr>
        <w:pStyle w:val="ListBullet"/>
      </w:pPr>
      <w:r>
        <w:t>Revue et mise à jour des procédures</w:t>
      </w:r>
    </w:p>
    <w:p>
      <w:r>
        <w:br w:type="page"/>
      </w:r>
    </w:p>
    <w:p>
      <w:commentRangeStart w:id="9"/>
      <w:pPr>
        <w:pStyle w:val="Heading1"/>
      </w:pPr>
      <w:r>
        <w:t>9. Gestion des Tiers et Fournisseurs</w:t>
      </w:r>
      <w:commentRangeEnd w:id="9"/>
      <w:r>
        <w:rPr>
          <w:rStyle w:val="CommentReference"/>
        </w:rPr>
        <w:commentReference w:id="9"/>
      </w:r>
    </w:p>
    <w:p>
      <w:r>
        <w:t>Tout prestataire ou fournisseur ayant accès aux systèmes d'information ou aux données de l'entreprise doit faire l'objet d'une évaluation de sécurité préalable.</w:t>
      </w:r>
    </w:p>
    <w:p>
      <w:pPr>
        <w:pStyle w:val="Heading2"/>
      </w:pPr>
      <w:r>
        <w:t>9.1 Évaluation des fournisseurs</w:t>
      </w:r>
    </w:p>
    <w:p>
      <w:pPr>
        <w:pStyle w:val="ListBullet"/>
      </w:pPr>
      <w:r>
        <w:t>Questionnaire de sécurité pré-contractuel</w:t>
      </w:r>
    </w:p>
    <w:p>
      <w:pPr>
        <w:pStyle w:val="ListBullet"/>
      </w:pPr>
      <w:r>
        <w:t>Vérification des certifications (ISO 27001, SOC 2, HDS, etc.)</w:t>
      </w:r>
    </w:p>
    <w:p>
      <w:pPr>
        <w:pStyle w:val="ListBullet"/>
      </w:pPr>
      <w:r>
        <w:t>Audit de sécurité pour les fournisseurs critiques</w:t>
      </w:r>
    </w:p>
    <w:p>
      <w:pPr>
        <w:pStyle w:val="ListBullet"/>
      </w:pPr>
      <w:r>
        <w:t>Revue annuelle de la conformité des fournisseurs</w:t>
      </w:r>
    </w:p>
    <w:p>
      <w:pPr>
        <w:pStyle w:val="Heading2"/>
      </w:pPr>
      <w:r>
        <w:t>9.2 Clauses contractuelles</w:t>
      </w:r>
    </w:p>
    <w:p>
      <w:pPr>
        <w:pStyle w:val="ListBullet"/>
      </w:pPr>
      <w:r>
        <w:t>Clause de confidentialité et de non-divulgation (NDA)</w:t>
      </w:r>
    </w:p>
    <w:p>
      <w:pPr>
        <w:pStyle w:val="ListBullet"/>
      </w:pPr>
      <w:r>
        <w:t>Clause de conformité aux politiques de sécurité de l'entreprise</w:t>
      </w:r>
    </w:p>
    <w:p>
      <w:pPr>
        <w:pStyle w:val="ListBullet"/>
      </w:pPr>
      <w:r>
        <w:t>Clause d'audit et de droit d'inspection</w:t>
      </w:r>
    </w:p>
    <w:p>
      <w:pPr>
        <w:pStyle w:val="ListBullet"/>
      </w:pPr>
      <w:r>
        <w:t>Clause de notification des incidents de sécurité</w:t>
      </w:r>
    </w:p>
    <w:p>
      <w:pPr>
        <w:pStyle w:val="ListBullet"/>
      </w:pPr>
      <w:r>
        <w:t>Clause de réversibilité et de suppression des données en fin de contrat</w:t>
      </w:r>
    </w:p>
    <w:p>
      <w:r>
        <w:br w:type="page"/>
      </w:r>
    </w:p>
    <w:p>
      <w:pPr>
        <w:pStyle w:val="Heading1"/>
      </w:pPr>
      <w:r>
        <w:t>10. Conformité et Audit</w:t>
      </w:r>
    </w:p>
    <w:p>
      <w:pPr>
        <w:pStyle w:val="Heading2"/>
      </w:pPr>
      <w:r>
        <w:t>10.1 Audits internes</w:t>
      </w:r>
    </w:p>
    <w:p>
      <w:r>
        <w:t>Des audits internes du SMSI sont réalisés au minimum annuellement, couvrant l'ensemble des clauses de la norme ISO 27001 et les contrôles de l'Annexe A. Le programme d'audit est approuvé par la Direction.</w:t>
      </w:r>
    </w:p>
    <w:p>
      <w:pPr>
        <w:pStyle w:val="Heading2"/>
      </w:pPr>
      <w:r>
        <w:t>10.2 Audits externes</w:t>
      </w:r>
    </w:p>
    <w:p>
      <w:r>
        <w:t>L'organisme de certification réalise un audit de surveillance annuel et un audit de renouvellement tous les trois ans. Des tests d'intrusion (pentest) sont réalisés annuellement par un prestataire qualifié PASSI.</w:t>
      </w:r>
    </w:p>
    <w:p>
      <w:pPr>
        <w:pStyle w:val="Heading2"/>
      </w:pPr>
      <w:r>
        <w:t>10.3 Indicateurs de performance (KPI)</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3600"/>
            <w:shd w:fill="00528A" w:val="clear"/>
          </w:tcPr>
          <w:p>
            <w:pPr>
              <w:jc w:val="center"/>
            </w:pPr>
            <w:r>
              <w:rPr>
                <w:b/>
                <w:color w:val="FFFFFF"/>
                <w:sz w:val="18"/>
              </w:rPr>
              <w:t>Indicateur</w:t>
            </w:r>
          </w:p>
        </w:tc>
        <w:tc>
          <w:tcPr>
            <w:tcW w:type="dxa" w:w="1728"/>
            <w:shd w:fill="00528A" w:val="clear"/>
          </w:tcPr>
          <w:p>
            <w:pPr>
              <w:jc w:val="center"/>
            </w:pPr>
            <w:r>
              <w:rPr>
                <w:b/>
                <w:color w:val="FFFFFF"/>
                <w:sz w:val="18"/>
              </w:rPr>
              <w:t>Objectif</w:t>
            </w:r>
          </w:p>
        </w:tc>
        <w:tc>
          <w:tcPr>
            <w:tcW w:type="dxa" w:w="2160"/>
            <w:shd w:fill="00528A" w:val="clear"/>
          </w:tcPr>
          <w:p>
            <w:pPr>
              <w:jc w:val="center"/>
            </w:pPr>
            <w:r>
              <w:rPr>
                <w:b/>
                <w:color w:val="FFFFFF"/>
                <w:sz w:val="18"/>
              </w:rPr>
              <w:t>Fréquence de mesure</w:t>
            </w:r>
          </w:p>
        </w:tc>
        <w:tc>
          <w:tcPr>
            <w:tcW w:type="dxa" w:w="1872"/>
            <w:shd w:fill="00528A" w:val="clear"/>
          </w:tcPr>
          <w:p>
            <w:pPr>
              <w:jc w:val="center"/>
            </w:pPr>
            <w:r>
              <w:rPr>
                <w:b/>
                <w:color w:val="FFFFFF"/>
                <w:sz w:val="18"/>
              </w:rPr>
              <w:t>Responsable</w:t>
            </w:r>
          </w:p>
        </w:tc>
      </w:tr>
      <w:tr>
        <w:tc>
          <w:tcPr>
            <w:tcW w:type="dxa" w:w="3600"/>
          </w:tcPr>
          <w:p>
            <w:r>
              <w:rPr>
                <w:sz w:val="18"/>
              </w:rPr>
              <w:t>Taux de conformité Annexe A</w:t>
            </w:r>
          </w:p>
        </w:tc>
        <w:tc>
          <w:tcPr>
            <w:tcW w:type="dxa" w:w="1728"/>
          </w:tcPr>
          <w:p>
            <w:r>
              <w:rPr>
                <w:sz w:val="18"/>
              </w:rPr>
              <w:t>≥ 85%</w:t>
            </w:r>
          </w:p>
        </w:tc>
        <w:tc>
          <w:tcPr>
            <w:tcW w:type="dxa" w:w="2160"/>
          </w:tcPr>
          <w:p>
            <w:r>
              <w:rPr>
                <w:sz w:val="18"/>
              </w:rPr>
              <w:t>Trimestrielle</w:t>
            </w:r>
          </w:p>
        </w:tc>
        <w:tc>
          <w:tcPr>
            <w:tcW w:type="dxa" w:w="1872"/>
          </w:tcPr>
          <w:p>
            <w:r>
              <w:rPr>
                <w:sz w:val="18"/>
              </w:rPr>
              <w:t>RSSI</w:t>
            </w:r>
          </w:p>
        </w:tc>
      </w:tr>
      <w:tr>
        <w:tc>
          <w:tcPr>
            <w:tcW w:type="dxa" w:w="3600"/>
          </w:tcPr>
          <w:p>
            <w:r>
              <w:rPr>
                <w:sz w:val="18"/>
              </w:rPr>
              <w:t>Délai moyen de correction des vulnérabilités critiques</w:t>
            </w:r>
          </w:p>
        </w:tc>
        <w:tc>
          <w:tcPr>
            <w:tcW w:type="dxa" w:w="1728"/>
          </w:tcPr>
          <w:p>
            <w:r>
              <w:rPr>
                <w:sz w:val="18"/>
              </w:rPr>
              <w:t>&lt; 15 jours</w:t>
            </w:r>
          </w:p>
        </w:tc>
        <w:tc>
          <w:tcPr>
            <w:tcW w:type="dxa" w:w="2160"/>
          </w:tcPr>
          <w:p>
            <w:r>
              <w:rPr>
                <w:sz w:val="18"/>
              </w:rPr>
              <w:t>Mensuelle</w:t>
            </w:r>
          </w:p>
        </w:tc>
        <w:tc>
          <w:tcPr>
            <w:tcW w:type="dxa" w:w="1872"/>
          </w:tcPr>
          <w:p>
            <w:r>
              <w:rPr>
                <w:sz w:val="18"/>
              </w:rPr>
              <w:t>DSI</w:t>
            </w:r>
          </w:p>
        </w:tc>
      </w:tr>
      <w:tr>
        <w:tc>
          <w:tcPr>
            <w:tcW w:type="dxa" w:w="3600"/>
          </w:tcPr>
          <w:p>
            <w:r>
              <w:rPr>
                <w:sz w:val="18"/>
              </w:rPr>
              <w:t>Taux de sensibilisation des collaborateurs</w:t>
            </w:r>
          </w:p>
        </w:tc>
        <w:tc>
          <w:tcPr>
            <w:tcW w:type="dxa" w:w="1728"/>
          </w:tcPr>
          <w:p>
            <w:r>
              <w:rPr>
                <w:sz w:val="18"/>
              </w:rPr>
              <w:t>100%</w:t>
            </w:r>
          </w:p>
        </w:tc>
        <w:tc>
          <w:tcPr>
            <w:tcW w:type="dxa" w:w="2160"/>
          </w:tcPr>
          <w:p>
            <w:r>
              <w:rPr>
                <w:sz w:val="18"/>
              </w:rPr>
              <w:t>Annuelle</w:t>
            </w:r>
          </w:p>
        </w:tc>
        <w:tc>
          <w:tcPr>
            <w:tcW w:type="dxa" w:w="1872"/>
          </w:tcPr>
          <w:p>
            <w:r>
              <w:rPr>
                <w:sz w:val="18"/>
              </w:rPr>
              <w:t>RH / RSSI</w:t>
            </w:r>
          </w:p>
        </w:tc>
      </w:tr>
      <w:tr>
        <w:tc>
          <w:tcPr>
            <w:tcW w:type="dxa" w:w="3600"/>
          </w:tcPr>
          <w:p>
            <w:r>
              <w:rPr>
                <w:sz w:val="18"/>
              </w:rPr>
              <w:t>Nombre d'incidents P1/P2</w:t>
            </w:r>
          </w:p>
        </w:tc>
        <w:tc>
          <w:tcPr>
            <w:tcW w:type="dxa" w:w="1728"/>
          </w:tcPr>
          <w:p>
            <w:r>
              <w:rPr>
                <w:sz w:val="18"/>
              </w:rPr>
              <w:t>≤ 2 par trimestre</w:t>
            </w:r>
          </w:p>
        </w:tc>
        <w:tc>
          <w:tcPr>
            <w:tcW w:type="dxa" w:w="2160"/>
          </w:tcPr>
          <w:p>
            <w:r>
              <w:rPr>
                <w:sz w:val="18"/>
              </w:rPr>
              <w:t>Trimestrielle</w:t>
            </w:r>
          </w:p>
        </w:tc>
        <w:tc>
          <w:tcPr>
            <w:tcW w:type="dxa" w:w="1872"/>
          </w:tcPr>
          <w:p>
            <w:r>
              <w:rPr>
                <w:sz w:val="18"/>
              </w:rPr>
              <w:t>SOC / RSSI</w:t>
            </w:r>
          </w:p>
        </w:tc>
      </w:tr>
      <w:tr>
        <w:tc>
          <w:tcPr>
            <w:tcW w:type="dxa" w:w="3600"/>
          </w:tcPr>
          <w:p>
            <w:r>
              <w:rPr>
                <w:sz w:val="18"/>
              </w:rPr>
              <w:t>Taux de réussite des tests PRA</w:t>
            </w:r>
          </w:p>
        </w:tc>
        <w:tc>
          <w:tcPr>
            <w:tcW w:type="dxa" w:w="1728"/>
          </w:tcPr>
          <w:p>
            <w:r>
              <w:rPr>
                <w:sz w:val="18"/>
              </w:rPr>
              <w:t>100%</w:t>
            </w:r>
          </w:p>
        </w:tc>
        <w:tc>
          <w:tcPr>
            <w:tcW w:type="dxa" w:w="2160"/>
          </w:tcPr>
          <w:p>
            <w:r>
              <w:rPr>
                <w:sz w:val="18"/>
              </w:rPr>
              <w:t>Annuelle</w:t>
            </w:r>
          </w:p>
        </w:tc>
        <w:tc>
          <w:tcPr>
            <w:tcW w:type="dxa" w:w="1872"/>
          </w:tcPr>
          <w:p>
            <w:r>
              <w:rPr>
                <w:sz w:val="18"/>
              </w:rPr>
              <w:t>DSI</w:t>
            </w:r>
          </w:p>
        </w:tc>
      </w:tr>
    </w:tbl>
    <w:p>
      <w:r>
        <w:br w:type="page"/>
      </w:r>
    </w:p>
    <w:p>
      <w:pPr>
        <w:pStyle w:val="Heading1"/>
      </w:pPr>
      <w:r>
        <w:t>11. Sensibilisation et Formation</w:t>
      </w:r>
    </w:p>
    <w:p>
      <w:pPr>
        <w:pStyle w:val="Heading2"/>
      </w:pPr>
      <w:r>
        <w:t>11.1 Programme de sensibilisation</w:t>
      </w:r>
    </w:p>
    <w:p>
      <w:r>
        <w:t>Un programme de sensibilisation à la sécurité de l'information est déployé auprès de l'ensemble des collaborateurs. Il comprend :</w:t>
      </w:r>
    </w:p>
    <w:p>
      <w:pPr>
        <w:pStyle w:val="ListBullet"/>
      </w:pPr>
      <w:r>
        <w:t>Formation obligatoire à l'embauche</w:t>
      </w:r>
    </w:p>
    <w:p>
      <w:pPr>
        <w:pStyle w:val="ListBullet"/>
      </w:pPr>
      <w:r>
        <w:t>Sessions de sensibilisation annuelles (phishing, bonnes pratiques, RGPD)</w:t>
      </w:r>
    </w:p>
    <w:p>
      <w:pPr>
        <w:pStyle w:val="ListBullet"/>
      </w:pPr>
      <w:r>
        <w:t>Campagnes de simulation de phishing trimestrielles</w:t>
      </w:r>
    </w:p>
    <w:p>
      <w:pPr>
        <w:pStyle w:val="ListBullet"/>
      </w:pPr>
      <w:r>
        <w:t>Communications régulières (newsletter sécurité, alertes)</w:t>
      </w:r>
    </w:p>
    <w:p>
      <w:pPr>
        <w:pStyle w:val="ListBullet"/>
      </w:pPr>
      <w:r>
        <w:t>Formation spécifique pour les profils techniques et les managers</w:t>
      </w:r>
    </w:p>
    <w:p>
      <w:pPr>
        <w:pStyle w:val="Heading2"/>
      </w:pPr>
      <w:r>
        <w:t>11.2 Évaluation de l'efficacité</w:t>
      </w:r>
    </w:p>
    <w:p>
      <w:r>
        <w:t>L'efficacité du programme de sensibilisation est mesurée par le taux de clics sur les simulations de phishing (objectif : &lt; 5%), les résultats des quiz de connaissance, et le nombre de signalements spontanés d'incidents par les collaborateurs.</w:t>
      </w:r>
    </w:p>
    <w:p>
      <w:r>
        <w:br w:type="page"/>
      </w:r>
    </w:p>
    <w:p>
      <w:pPr>
        <w:pStyle w:val="Heading1"/>
      </w:pPr>
      <w:r>
        <w:t>12. Annexes</w:t>
      </w:r>
    </w:p>
    <w:p>
      <w:pPr>
        <w:pStyle w:val="Heading2"/>
      </w:pPr>
      <w:r>
        <w:t>12.1 Glossaire</w:t>
      </w:r>
    </w:p>
    <w:tbl>
      <w:tblPr>
        <w:tblStyle w:val="TableGrid"/>
        <w:tblW w:type="auto" w:w="0"/>
        <w:jc w:val="center"/>
        <w:tblLook w:firstColumn="1" w:firstRow="1" w:lastColumn="0" w:lastRow="0" w:noHBand="0" w:noVBand="1" w:val="04A0"/>
      </w:tblPr>
      <w:tblGrid>
        <w:gridCol w:w="4320"/>
        <w:gridCol w:w="4320"/>
      </w:tblGrid>
      <w:tr>
        <w:tc>
          <w:tcPr>
            <w:tcW w:type="dxa" w:w="1728"/>
            <w:shd w:fill="00528A" w:val="clear"/>
          </w:tcPr>
          <w:p>
            <w:pPr>
              <w:jc w:val="center"/>
            </w:pPr>
            <w:r>
              <w:rPr>
                <w:b/>
                <w:color w:val="FFFFFF"/>
                <w:sz w:val="18"/>
              </w:rPr>
              <w:t>Terme</w:t>
            </w:r>
          </w:p>
        </w:tc>
        <w:tc>
          <w:tcPr>
            <w:tcW w:type="dxa" w:w="7632"/>
            <w:shd w:fill="00528A" w:val="clear"/>
          </w:tcPr>
          <w:p>
            <w:pPr>
              <w:jc w:val="center"/>
            </w:pPr>
            <w:r>
              <w:rPr>
                <w:b/>
                <w:color w:val="FFFFFF"/>
                <w:sz w:val="18"/>
              </w:rPr>
              <w:t>Définition</w:t>
            </w:r>
          </w:p>
        </w:tc>
      </w:tr>
      <w:tr>
        <w:tc>
          <w:tcPr>
            <w:tcW w:type="dxa" w:w="1728"/>
          </w:tcPr>
          <w:p>
            <w:r>
              <w:rPr>
                <w:sz w:val="18"/>
              </w:rPr>
              <w:t>SMSI</w:t>
            </w:r>
          </w:p>
        </w:tc>
        <w:tc>
          <w:tcPr>
            <w:tcW w:type="dxa" w:w="7632"/>
          </w:tcPr>
          <w:p>
            <w:r>
              <w:rPr>
                <w:sz w:val="18"/>
              </w:rPr>
              <w:t>Système de Management de la Sécurité de l'Information</w:t>
            </w:r>
          </w:p>
        </w:tc>
      </w:tr>
      <w:tr>
        <w:tc>
          <w:tcPr>
            <w:tcW w:type="dxa" w:w="1728"/>
          </w:tcPr>
          <w:p>
            <w:r>
              <w:rPr>
                <w:sz w:val="18"/>
              </w:rPr>
              <w:t>RSSI</w:t>
            </w:r>
          </w:p>
        </w:tc>
        <w:tc>
          <w:tcPr>
            <w:tcW w:type="dxa" w:w="7632"/>
          </w:tcPr>
          <w:p>
            <w:r>
              <w:rPr>
                <w:sz w:val="18"/>
              </w:rPr>
              <w:t>Responsable de la Sécurité des Systèmes d'Information</w:t>
            </w:r>
          </w:p>
        </w:tc>
      </w:tr>
      <w:tr>
        <w:tc>
          <w:tcPr>
            <w:tcW w:type="dxa" w:w="1728"/>
          </w:tcPr>
          <w:p>
            <w:r>
              <w:rPr>
                <w:sz w:val="18"/>
              </w:rPr>
              <w:t>DPO</w:t>
            </w:r>
          </w:p>
        </w:tc>
        <w:tc>
          <w:tcPr>
            <w:tcW w:type="dxa" w:w="7632"/>
          </w:tcPr>
          <w:p>
            <w:r>
              <w:rPr>
                <w:sz w:val="18"/>
              </w:rPr>
              <w:t>Data Protection Officer (Délégué à la Protection des Données)</w:t>
            </w:r>
          </w:p>
        </w:tc>
      </w:tr>
      <w:tr>
        <w:tc>
          <w:tcPr>
            <w:tcW w:type="dxa" w:w="1728"/>
          </w:tcPr>
          <w:p>
            <w:r>
              <w:rPr>
                <w:sz w:val="18"/>
              </w:rPr>
              <w:t>PCA</w:t>
            </w:r>
          </w:p>
        </w:tc>
        <w:tc>
          <w:tcPr>
            <w:tcW w:type="dxa" w:w="7632"/>
          </w:tcPr>
          <w:p>
            <w:r>
              <w:rPr>
                <w:sz w:val="18"/>
              </w:rPr>
              <w:t>Plan de Continuité d'Activité</w:t>
            </w:r>
          </w:p>
        </w:tc>
      </w:tr>
      <w:tr>
        <w:tc>
          <w:tcPr>
            <w:tcW w:type="dxa" w:w="1728"/>
          </w:tcPr>
          <w:p>
            <w:r>
              <w:rPr>
                <w:sz w:val="18"/>
              </w:rPr>
              <w:t>PRA</w:t>
            </w:r>
          </w:p>
        </w:tc>
        <w:tc>
          <w:tcPr>
            <w:tcW w:type="dxa" w:w="7632"/>
          </w:tcPr>
          <w:p>
            <w:r>
              <w:rPr>
                <w:sz w:val="18"/>
              </w:rPr>
              <w:t>Plan de Reprise d'Activité</w:t>
            </w:r>
          </w:p>
        </w:tc>
      </w:tr>
      <w:tr>
        <w:tc>
          <w:tcPr>
            <w:tcW w:type="dxa" w:w="1728"/>
          </w:tcPr>
          <w:p>
            <w:r>
              <w:rPr>
                <w:sz w:val="18"/>
              </w:rPr>
              <w:t>RTO</w:t>
            </w:r>
          </w:p>
        </w:tc>
        <w:tc>
          <w:tcPr>
            <w:tcW w:type="dxa" w:w="7632"/>
          </w:tcPr>
          <w:p>
            <w:r>
              <w:rPr>
                <w:sz w:val="18"/>
              </w:rPr>
              <w:t>Recovery Time Objective — Durée maximale d'interruption admissible</w:t>
            </w:r>
          </w:p>
        </w:tc>
      </w:tr>
      <w:tr>
        <w:tc>
          <w:tcPr>
            <w:tcW w:type="dxa" w:w="1728"/>
          </w:tcPr>
          <w:p>
            <w:r>
              <w:rPr>
                <w:sz w:val="18"/>
              </w:rPr>
              <w:t>RPO</w:t>
            </w:r>
          </w:p>
        </w:tc>
        <w:tc>
          <w:tcPr>
            <w:tcW w:type="dxa" w:w="7632"/>
          </w:tcPr>
          <w:p>
            <w:r>
              <w:rPr>
                <w:sz w:val="18"/>
              </w:rPr>
              <w:t>Recovery Point Objective — Perte de données maximale admissible</w:t>
            </w:r>
          </w:p>
        </w:tc>
      </w:tr>
      <w:tr>
        <w:tc>
          <w:tcPr>
            <w:tcW w:type="dxa" w:w="1728"/>
          </w:tcPr>
          <w:p>
            <w:r>
              <w:rPr>
                <w:sz w:val="18"/>
              </w:rPr>
              <w:t>EDR</w:t>
            </w:r>
          </w:p>
        </w:tc>
        <w:tc>
          <w:tcPr>
            <w:tcW w:type="dxa" w:w="7632"/>
          </w:tcPr>
          <w:p>
            <w:r>
              <w:rPr>
                <w:sz w:val="18"/>
              </w:rPr>
              <w:t>Endpoint Detection and Response</w:t>
            </w:r>
          </w:p>
        </w:tc>
      </w:tr>
      <w:tr>
        <w:tc>
          <w:tcPr>
            <w:tcW w:type="dxa" w:w="1728"/>
          </w:tcPr>
          <w:p>
            <w:r>
              <w:rPr>
                <w:sz w:val="18"/>
              </w:rPr>
              <w:t>SIEM</w:t>
            </w:r>
          </w:p>
        </w:tc>
        <w:tc>
          <w:tcPr>
            <w:tcW w:type="dxa" w:w="7632"/>
          </w:tcPr>
          <w:p>
            <w:r>
              <w:rPr>
                <w:sz w:val="18"/>
              </w:rPr>
              <w:t>Security Information and Event Management</w:t>
            </w:r>
          </w:p>
        </w:tc>
      </w:tr>
      <w:tr>
        <w:tc>
          <w:tcPr>
            <w:tcW w:type="dxa" w:w="1728"/>
          </w:tcPr>
          <w:p>
            <w:r>
              <w:rPr>
                <w:sz w:val="18"/>
              </w:rPr>
              <w:t>SOC</w:t>
            </w:r>
          </w:p>
        </w:tc>
        <w:tc>
          <w:tcPr>
            <w:tcW w:type="dxa" w:w="7632"/>
          </w:tcPr>
          <w:p>
            <w:r>
              <w:rPr>
                <w:sz w:val="18"/>
              </w:rPr>
              <w:t>Security Operations Center</w:t>
            </w:r>
          </w:p>
        </w:tc>
      </w:tr>
      <w:tr>
        <w:tc>
          <w:tcPr>
            <w:tcW w:type="dxa" w:w="1728"/>
          </w:tcPr>
          <w:p>
            <w:r>
              <w:rPr>
                <w:sz w:val="18"/>
              </w:rPr>
              <w:t>MFA</w:t>
            </w:r>
          </w:p>
        </w:tc>
        <w:tc>
          <w:tcPr>
            <w:tcW w:type="dxa" w:w="7632"/>
          </w:tcPr>
          <w:p>
            <w:r>
              <w:rPr>
                <w:sz w:val="18"/>
              </w:rPr>
              <w:t>Multi-Factor Authentication (Authentification multi-facteurs)</w:t>
            </w:r>
          </w:p>
        </w:tc>
      </w:tr>
      <w:tr>
        <w:tc>
          <w:tcPr>
            <w:tcW w:type="dxa" w:w="1728"/>
          </w:tcPr>
          <w:p>
            <w:r>
              <w:rPr>
                <w:sz w:val="18"/>
              </w:rPr>
              <w:t>PAM</w:t>
            </w:r>
          </w:p>
        </w:tc>
        <w:tc>
          <w:tcPr>
            <w:tcW w:type="dxa" w:w="7632"/>
          </w:tcPr>
          <w:p>
            <w:r>
              <w:rPr>
                <w:sz w:val="18"/>
              </w:rPr>
              <w:t>Privileged Access Management</w:t>
            </w:r>
          </w:p>
        </w:tc>
      </w:tr>
      <w:tr>
        <w:tc>
          <w:tcPr>
            <w:tcW w:type="dxa" w:w="1728"/>
          </w:tcPr>
          <w:p>
            <w:r>
              <w:rPr>
                <w:sz w:val="18"/>
              </w:rPr>
              <w:t>WAF</w:t>
            </w:r>
          </w:p>
        </w:tc>
        <w:tc>
          <w:tcPr>
            <w:tcW w:type="dxa" w:w="7632"/>
          </w:tcPr>
          <w:p>
            <w:r>
              <w:rPr>
                <w:sz w:val="18"/>
              </w:rPr>
              <w:t>Web Application Firewall</w:t>
            </w:r>
          </w:p>
        </w:tc>
      </w:tr>
      <w:tr>
        <w:tc>
          <w:tcPr>
            <w:tcW w:type="dxa" w:w="1728"/>
          </w:tcPr>
          <w:p>
            <w:r>
              <w:rPr>
                <w:sz w:val="18"/>
              </w:rPr>
              <w:t>IDS/IPS</w:t>
            </w:r>
          </w:p>
        </w:tc>
        <w:tc>
          <w:tcPr>
            <w:tcW w:type="dxa" w:w="7632"/>
          </w:tcPr>
          <w:p>
            <w:r>
              <w:rPr>
                <w:sz w:val="18"/>
              </w:rPr>
              <w:t>Intrusion Detection/Prevention System</w:t>
            </w:r>
          </w:p>
        </w:tc>
      </w:tr>
    </w:tbl>
    <w:p>
      <w:r>
        <w:br w:type="page"/>
      </w:r>
    </w:p>
    <w:p>
      <w:pPr>
        <w:pStyle w:val="Heading2"/>
      </w:pPr>
      <w:r>
        <w:t>12.2 Matrice RACI</w:t>
      </w:r>
    </w:p>
    <w:p>
      <w:commentRangeStart w:id="10"/>
      <w:r>
        <w:t>Matrice de responsabilités pour les processus clés de sécurité :</w:t>
      </w:r>
      <w:commentRangeEnd w:id="10"/>
      <w:r>
        <w:rPr>
          <w:rStyle w:val="CommentReference"/>
        </w:rPr>
        <w:commentReference w:id="10"/>
      </w:r>
    </w:p>
    <w:tbl>
      <w:tblPr>
        <w:tblStyle w:val="TableGrid"/>
        <w:tblW w:type="auto" w:w="0"/>
        <w:jc w:val="center"/>
        <w:tblLook w:firstColumn="1" w:firstRow="1" w:lastColumn="0" w:lastRow="0" w:noHBand="0" w:noVBand="1" w:val="04A0"/>
      </w:tblPr>
      <w:tblGrid>
        <w:gridCol w:w="1234"/>
        <w:gridCol w:w="1234"/>
        <w:gridCol w:w="1234"/>
        <w:gridCol w:w="1234"/>
        <w:gridCol w:w="1234"/>
        <w:gridCol w:w="1234"/>
        <w:gridCol w:w="1234"/>
      </w:tblGrid>
      <w:tr>
        <w:tc>
          <w:tcPr>
            <w:tcW w:type="dxa" w:w="2592"/>
            <w:shd w:fill="00528A" w:val="clear"/>
          </w:tcPr>
          <w:p>
            <w:pPr>
              <w:jc w:val="center"/>
            </w:pPr>
            <w:r>
              <w:rPr>
                <w:b/>
                <w:color w:val="FFFFFF"/>
                <w:sz w:val="18"/>
              </w:rPr>
              <w:t>Processus</w:t>
            </w:r>
          </w:p>
        </w:tc>
        <w:tc>
          <w:tcPr>
            <w:tcW w:type="dxa" w:w="1152"/>
            <w:shd w:fill="00528A" w:val="clear"/>
          </w:tcPr>
          <w:p>
            <w:pPr>
              <w:jc w:val="center"/>
            </w:pPr>
            <w:r>
              <w:rPr>
                <w:b/>
                <w:color w:val="FFFFFF"/>
                <w:sz w:val="18"/>
              </w:rPr>
              <w:t>Direction</w:t>
            </w:r>
          </w:p>
        </w:tc>
        <w:tc>
          <w:tcPr>
            <w:tcW w:type="dxa" w:w="1008"/>
            <w:shd w:fill="00528A" w:val="clear"/>
          </w:tcPr>
          <w:p>
            <w:pPr>
              <w:jc w:val="center"/>
            </w:pPr>
            <w:r>
              <w:rPr>
                <w:b/>
                <w:color w:val="FFFFFF"/>
                <w:sz w:val="18"/>
              </w:rPr>
              <w:t>RSSI</w:t>
            </w:r>
          </w:p>
        </w:tc>
        <w:tc>
          <w:tcPr>
            <w:tcW w:type="dxa" w:w="1008"/>
            <w:shd w:fill="00528A" w:val="clear"/>
          </w:tcPr>
          <w:p>
            <w:pPr>
              <w:jc w:val="center"/>
            </w:pPr>
            <w:r>
              <w:rPr>
                <w:b/>
                <w:color w:val="FFFFFF"/>
                <w:sz w:val="18"/>
              </w:rPr>
              <w:t>DSI</w:t>
            </w:r>
          </w:p>
        </w:tc>
        <w:tc>
          <w:tcPr>
            <w:tcW w:type="dxa" w:w="1008"/>
            <w:shd w:fill="00528A" w:val="clear"/>
          </w:tcPr>
          <w:p>
            <w:pPr>
              <w:jc w:val="center"/>
            </w:pPr>
            <w:r>
              <w:rPr>
                <w:b/>
                <w:color w:val="FFFFFF"/>
                <w:sz w:val="18"/>
              </w:rPr>
              <w:t>DPO</w:t>
            </w:r>
          </w:p>
        </w:tc>
        <w:tc>
          <w:tcPr>
            <w:tcW w:type="dxa" w:w="1008"/>
            <w:shd w:fill="00528A" w:val="clear"/>
          </w:tcPr>
          <w:p>
            <w:pPr>
              <w:jc w:val="center"/>
            </w:pPr>
            <w:r>
              <w:rPr>
                <w:b/>
                <w:color w:val="FFFFFF"/>
                <w:sz w:val="18"/>
              </w:rPr>
              <w:t>Métiers</w:t>
            </w:r>
          </w:p>
        </w:tc>
        <w:tc>
          <w:tcPr>
            <w:tcW w:type="dxa" w:w="1296"/>
            <w:shd w:fill="00528A" w:val="clear"/>
          </w:tcPr>
          <w:p>
            <w:pPr>
              <w:jc w:val="center"/>
            </w:pPr>
            <w:r>
              <w:rPr>
                <w:b/>
                <w:color w:val="FFFFFF"/>
                <w:sz w:val="18"/>
              </w:rPr>
              <w:t>Utilisateurs</w:t>
            </w:r>
          </w:p>
        </w:tc>
      </w:tr>
      <w:tr>
        <w:tc>
          <w:tcPr>
            <w:tcW w:type="dxa" w:w="2592"/>
          </w:tcPr>
          <w:p>
            <w:r>
              <w:rPr>
                <w:sz w:val="18"/>
              </w:rPr>
              <w:t>Définition de la PSSI</w:t>
            </w:r>
          </w:p>
        </w:tc>
        <w:tc>
          <w:tcPr>
            <w:tcW w:type="dxa" w:w="1152"/>
          </w:tcPr>
          <w:p>
            <w:r>
              <w:rPr>
                <w:sz w:val="18"/>
              </w:rPr>
              <w:t>A</w:t>
            </w:r>
          </w:p>
        </w:tc>
        <w:tc>
          <w:tcPr>
            <w:tcW w:type="dxa" w:w="1008"/>
          </w:tcPr>
          <w:p>
            <w:r>
              <w:rPr>
                <w:sz w:val="18"/>
              </w:rPr>
              <w:t>R</w:t>
            </w:r>
          </w:p>
        </w:tc>
        <w:tc>
          <w:tcPr>
            <w:tcW w:type="dxa" w:w="1008"/>
          </w:tcPr>
          <w:p>
            <w:r>
              <w:rPr>
                <w:sz w:val="18"/>
              </w:rPr>
              <w:t>C</w:t>
            </w:r>
          </w:p>
        </w:tc>
        <w:tc>
          <w:tcPr>
            <w:tcW w:type="dxa" w:w="1008"/>
          </w:tcPr>
          <w:p>
            <w:r>
              <w:rPr>
                <w:sz w:val="18"/>
              </w:rPr>
              <w:t>C</w:t>
            </w:r>
          </w:p>
        </w:tc>
        <w:tc>
          <w:tcPr>
            <w:tcW w:type="dxa" w:w="1008"/>
          </w:tcPr>
          <w:p>
            <w:r>
              <w:rPr>
                <w:sz w:val="18"/>
              </w:rPr>
              <w:t>I</w:t>
            </w:r>
          </w:p>
        </w:tc>
        <w:tc>
          <w:tcPr>
            <w:tcW w:type="dxa" w:w="1296"/>
          </w:tcPr>
          <w:p>
            <w:r>
              <w:rPr>
                <w:sz w:val="18"/>
              </w:rPr>
              <w:t>I</w:t>
            </w:r>
          </w:p>
        </w:tc>
      </w:tr>
      <w:tr>
        <w:tc>
          <w:tcPr>
            <w:tcW w:type="dxa" w:w="2592"/>
          </w:tcPr>
          <w:p>
            <w:r>
              <w:rPr>
                <w:sz w:val="18"/>
              </w:rPr>
              <w:t>Analyse de risques</w:t>
            </w:r>
          </w:p>
        </w:tc>
        <w:tc>
          <w:tcPr>
            <w:tcW w:type="dxa" w:w="1152"/>
          </w:tcPr>
          <w:p>
            <w:r>
              <w:rPr>
                <w:sz w:val="18"/>
              </w:rPr>
              <w:t>A</w:t>
            </w:r>
          </w:p>
        </w:tc>
        <w:tc>
          <w:tcPr>
            <w:tcW w:type="dxa" w:w="1008"/>
          </w:tcPr>
          <w:p>
            <w:r>
              <w:rPr>
                <w:sz w:val="18"/>
              </w:rPr>
              <w:t>R</w:t>
            </w:r>
          </w:p>
        </w:tc>
        <w:tc>
          <w:tcPr>
            <w:tcW w:type="dxa" w:w="1008"/>
          </w:tcPr>
          <w:p>
            <w:r>
              <w:rPr>
                <w:sz w:val="18"/>
              </w:rPr>
              <w:t>C</w:t>
            </w:r>
          </w:p>
        </w:tc>
        <w:tc>
          <w:tcPr>
            <w:tcW w:type="dxa" w:w="1008"/>
          </w:tcPr>
          <w:p>
            <w:r>
              <w:rPr>
                <w:sz w:val="18"/>
              </w:rPr>
              <w:t>C</w:t>
            </w:r>
          </w:p>
        </w:tc>
        <w:tc>
          <w:tcPr>
            <w:tcW w:type="dxa" w:w="1008"/>
          </w:tcPr>
          <w:p>
            <w:r>
              <w:rPr>
                <w:sz w:val="18"/>
              </w:rPr>
              <w:t>C</w:t>
            </w:r>
          </w:p>
        </w:tc>
        <w:tc>
          <w:tcPr>
            <w:tcW w:type="dxa" w:w="1296"/>
          </w:tcPr>
          <w:p>
            <w:r>
              <w:rPr>
                <w:sz w:val="18"/>
              </w:rPr>
              <w:t>I</w:t>
            </w:r>
          </w:p>
        </w:tc>
      </w:tr>
      <w:tr>
        <w:tc>
          <w:tcPr>
            <w:tcW w:type="dxa" w:w="2592"/>
          </w:tcPr>
          <w:p>
            <w:r>
              <w:rPr>
                <w:sz w:val="18"/>
              </w:rPr>
              <w:t>Gestion des incidents</w:t>
            </w:r>
          </w:p>
        </w:tc>
        <w:tc>
          <w:tcPr>
            <w:tcW w:type="dxa" w:w="1152"/>
          </w:tcPr>
          <w:p>
            <w:r>
              <w:rPr>
                <w:sz w:val="18"/>
              </w:rPr>
              <w:t>I</w:t>
            </w:r>
          </w:p>
        </w:tc>
        <w:tc>
          <w:tcPr>
            <w:tcW w:type="dxa" w:w="1008"/>
          </w:tcPr>
          <w:p>
            <w:r>
              <w:rPr>
                <w:sz w:val="18"/>
              </w:rPr>
              <w:t>A</w:t>
            </w:r>
          </w:p>
        </w:tc>
        <w:tc>
          <w:tcPr>
            <w:tcW w:type="dxa" w:w="1008"/>
          </w:tcPr>
          <w:p>
            <w:r>
              <w:rPr>
                <w:sz w:val="18"/>
              </w:rPr>
              <w:t>R</w:t>
            </w:r>
          </w:p>
        </w:tc>
        <w:tc>
          <w:tcPr>
            <w:tcW w:type="dxa" w:w="1008"/>
          </w:tcPr>
          <w:p>
            <w:r>
              <w:rPr>
                <w:sz w:val="18"/>
              </w:rPr>
              <w:t>C</w:t>
            </w:r>
          </w:p>
        </w:tc>
        <w:tc>
          <w:tcPr>
            <w:tcW w:type="dxa" w:w="1008"/>
          </w:tcPr>
          <w:p>
            <w:r>
              <w:rPr>
                <w:sz w:val="18"/>
              </w:rPr>
              <w:t>C</w:t>
            </w:r>
          </w:p>
        </w:tc>
        <w:tc>
          <w:tcPr>
            <w:tcW w:type="dxa" w:w="1296"/>
          </w:tcPr>
          <w:p>
            <w:r>
              <w:rPr>
                <w:sz w:val="18"/>
              </w:rPr>
              <w:t>R</w:t>
            </w:r>
          </w:p>
        </w:tc>
      </w:tr>
      <w:tr>
        <w:tc>
          <w:tcPr>
            <w:tcW w:type="dxa" w:w="2592"/>
          </w:tcPr>
          <w:p>
            <w:r>
              <w:rPr>
                <w:sz w:val="18"/>
              </w:rPr>
              <w:t>Gestion des accès</w:t>
            </w:r>
          </w:p>
        </w:tc>
        <w:tc>
          <w:tcPr>
            <w:tcW w:type="dxa" w:w="1152"/>
          </w:tcPr>
          <w:p>
            <w:r>
              <w:rPr>
                <w:sz w:val="18"/>
              </w:rPr>
              <w:t>I</w:t>
            </w:r>
          </w:p>
        </w:tc>
        <w:tc>
          <w:tcPr>
            <w:tcW w:type="dxa" w:w="1008"/>
          </w:tcPr>
          <w:p>
            <w:r>
              <w:rPr>
                <w:sz w:val="18"/>
              </w:rPr>
              <w:t>A</w:t>
            </w:r>
          </w:p>
        </w:tc>
        <w:tc>
          <w:tcPr>
            <w:tcW w:type="dxa" w:w="1008"/>
          </w:tcPr>
          <w:p>
            <w:r>
              <w:rPr>
                <w:sz w:val="18"/>
              </w:rPr>
              <w:t>R</w:t>
            </w:r>
          </w:p>
        </w:tc>
        <w:tc>
          <w:tcPr>
            <w:tcW w:type="dxa" w:w="1008"/>
          </w:tcPr>
          <w:p>
            <w:r>
              <w:rPr>
                <w:sz w:val="18"/>
              </w:rPr>
              <w:t>C</w:t>
            </w:r>
          </w:p>
        </w:tc>
        <w:tc>
          <w:tcPr>
            <w:tcW w:type="dxa" w:w="1008"/>
          </w:tcPr>
          <w:p>
            <w:r>
              <w:rPr>
                <w:sz w:val="18"/>
              </w:rPr>
              <w:t>R</w:t>
            </w:r>
          </w:p>
        </w:tc>
        <w:tc>
          <w:tcPr>
            <w:tcW w:type="dxa" w:w="1296"/>
          </w:tcPr>
          <w:p>
            <w:r>
              <w:rPr>
                <w:sz w:val="18"/>
              </w:rPr>
              <w:t>I</w:t>
            </w:r>
          </w:p>
        </w:tc>
      </w:tr>
      <w:tr>
        <w:tc>
          <w:tcPr>
            <w:tcW w:type="dxa" w:w="2592"/>
          </w:tcPr>
          <w:p>
            <w:r>
              <w:rPr>
                <w:sz w:val="18"/>
              </w:rPr>
              <w:t>Continuité d'activité</w:t>
            </w:r>
          </w:p>
        </w:tc>
        <w:tc>
          <w:tcPr>
            <w:tcW w:type="dxa" w:w="1152"/>
          </w:tcPr>
          <w:p>
            <w:r>
              <w:rPr>
                <w:sz w:val="18"/>
              </w:rPr>
              <w:t>A</w:t>
            </w:r>
          </w:p>
        </w:tc>
        <w:tc>
          <w:tcPr>
            <w:tcW w:type="dxa" w:w="1008"/>
          </w:tcPr>
          <w:p>
            <w:r>
              <w:rPr>
                <w:sz w:val="18"/>
              </w:rPr>
              <w:t>R</w:t>
            </w:r>
          </w:p>
        </w:tc>
        <w:tc>
          <w:tcPr>
            <w:tcW w:type="dxa" w:w="1008"/>
          </w:tcPr>
          <w:p>
            <w:r>
              <w:rPr>
                <w:sz w:val="18"/>
              </w:rPr>
              <w:t>R</w:t>
            </w:r>
          </w:p>
        </w:tc>
        <w:tc>
          <w:tcPr>
            <w:tcW w:type="dxa" w:w="1008"/>
          </w:tcPr>
          <w:p>
            <w:r>
              <w:rPr>
                <w:sz w:val="18"/>
              </w:rPr>
              <w:t>I</w:t>
            </w:r>
          </w:p>
        </w:tc>
        <w:tc>
          <w:tcPr>
            <w:tcW w:type="dxa" w:w="1008"/>
          </w:tcPr>
          <w:p>
            <w:r>
              <w:rPr>
                <w:sz w:val="18"/>
              </w:rPr>
              <w:t>C</w:t>
            </w:r>
          </w:p>
        </w:tc>
        <w:tc>
          <w:tcPr>
            <w:tcW w:type="dxa" w:w="1296"/>
          </w:tcPr>
          <w:p>
            <w:r>
              <w:rPr>
                <w:sz w:val="18"/>
              </w:rPr>
              <w:t>I</w:t>
            </w:r>
          </w:p>
        </w:tc>
      </w:tr>
      <w:tr>
        <w:tc>
          <w:tcPr>
            <w:tcW w:type="dxa" w:w="2592"/>
          </w:tcPr>
          <w:p>
            <w:r>
              <w:rPr>
                <w:sz w:val="18"/>
              </w:rPr>
              <w:t>Audit interne</w:t>
            </w:r>
          </w:p>
        </w:tc>
        <w:tc>
          <w:tcPr>
            <w:tcW w:type="dxa" w:w="1152"/>
          </w:tcPr>
          <w:p>
            <w:r>
              <w:rPr>
                <w:sz w:val="18"/>
              </w:rPr>
              <w:t>A</w:t>
            </w:r>
          </w:p>
        </w:tc>
        <w:tc>
          <w:tcPr>
            <w:tcW w:type="dxa" w:w="1008"/>
          </w:tcPr>
          <w:p>
            <w:r>
              <w:rPr>
                <w:sz w:val="18"/>
              </w:rPr>
              <w:t>R</w:t>
            </w:r>
          </w:p>
        </w:tc>
        <w:tc>
          <w:tcPr>
            <w:tcW w:type="dxa" w:w="1008"/>
          </w:tcPr>
          <w:p>
            <w:r>
              <w:rPr>
                <w:sz w:val="18"/>
              </w:rPr>
              <w:t>C</w:t>
            </w:r>
          </w:p>
        </w:tc>
        <w:tc>
          <w:tcPr>
            <w:tcW w:type="dxa" w:w="1008"/>
          </w:tcPr>
          <w:p>
            <w:r>
              <w:rPr>
                <w:sz w:val="18"/>
              </w:rPr>
              <w:t>C</w:t>
            </w:r>
          </w:p>
        </w:tc>
        <w:tc>
          <w:tcPr>
            <w:tcW w:type="dxa" w:w="1008"/>
          </w:tcPr>
          <w:p>
            <w:r>
              <w:rPr>
                <w:sz w:val="18"/>
              </w:rPr>
              <w:t>C</w:t>
            </w:r>
          </w:p>
        </w:tc>
        <w:tc>
          <w:tcPr>
            <w:tcW w:type="dxa" w:w="1296"/>
          </w:tcPr>
          <w:p>
            <w:r>
              <w:rPr>
                <w:sz w:val="18"/>
              </w:rPr>
              <w:t>I</w:t>
            </w:r>
          </w:p>
        </w:tc>
      </w:tr>
      <w:tr>
        <w:tc>
          <w:tcPr>
            <w:tcW w:type="dxa" w:w="2592"/>
          </w:tcPr>
          <w:p>
            <w:r>
              <w:rPr>
                <w:sz w:val="18"/>
              </w:rPr>
              <w:t>Sensibilisation</w:t>
            </w:r>
          </w:p>
        </w:tc>
        <w:tc>
          <w:tcPr>
            <w:tcW w:type="dxa" w:w="1152"/>
          </w:tcPr>
          <w:p>
            <w:r>
              <w:rPr>
                <w:sz w:val="18"/>
              </w:rPr>
              <w:t>A</w:t>
            </w:r>
          </w:p>
        </w:tc>
        <w:tc>
          <w:tcPr>
            <w:tcW w:type="dxa" w:w="1008"/>
          </w:tcPr>
          <w:p>
            <w:r>
              <w:rPr>
                <w:sz w:val="18"/>
              </w:rPr>
              <w:t>R</w:t>
            </w:r>
          </w:p>
        </w:tc>
        <w:tc>
          <w:tcPr>
            <w:tcW w:type="dxa" w:w="1008"/>
          </w:tcPr>
          <w:p>
            <w:r>
              <w:rPr>
                <w:sz w:val="18"/>
              </w:rPr>
              <w:t>C</w:t>
            </w:r>
          </w:p>
        </w:tc>
        <w:tc>
          <w:tcPr>
            <w:tcW w:type="dxa" w:w="1008"/>
          </w:tcPr>
          <w:p>
            <w:r>
              <w:rPr>
                <w:sz w:val="18"/>
              </w:rPr>
              <w:t>C</w:t>
            </w:r>
          </w:p>
        </w:tc>
        <w:tc>
          <w:tcPr>
            <w:tcW w:type="dxa" w:w="1008"/>
          </w:tcPr>
          <w:p>
            <w:r>
              <w:rPr>
                <w:sz w:val="18"/>
              </w:rPr>
              <w:t>I</w:t>
            </w:r>
          </w:p>
        </w:tc>
        <w:tc>
          <w:tcPr>
            <w:tcW w:type="dxa" w:w="1296"/>
          </w:tcPr>
          <w:p>
            <w:r>
              <w:rPr>
                <w:sz w:val="18"/>
              </w:rPr>
              <w:t>R</w:t>
            </w:r>
          </w:p>
        </w:tc>
      </w:tr>
      <w:tr>
        <w:tc>
          <w:tcPr>
            <w:tcW w:type="dxa" w:w="2592"/>
          </w:tcPr>
          <w:p>
            <w:r>
              <w:rPr>
                <w:sz w:val="18"/>
              </w:rPr>
              <w:t>Conformité RGPD</w:t>
            </w:r>
          </w:p>
        </w:tc>
        <w:tc>
          <w:tcPr>
            <w:tcW w:type="dxa" w:w="1152"/>
          </w:tcPr>
          <w:p>
            <w:r>
              <w:rPr>
                <w:sz w:val="18"/>
              </w:rPr>
              <w:t>A</w:t>
            </w:r>
          </w:p>
        </w:tc>
        <w:tc>
          <w:tcPr>
            <w:tcW w:type="dxa" w:w="1008"/>
          </w:tcPr>
          <w:p>
            <w:r>
              <w:rPr>
                <w:sz w:val="18"/>
              </w:rPr>
              <w:t>C</w:t>
            </w:r>
          </w:p>
        </w:tc>
        <w:tc>
          <w:tcPr>
            <w:tcW w:type="dxa" w:w="1008"/>
          </w:tcPr>
          <w:p>
            <w:r>
              <w:rPr>
                <w:sz w:val="18"/>
              </w:rPr>
              <w:t>C</w:t>
            </w:r>
          </w:p>
        </w:tc>
        <w:tc>
          <w:tcPr>
            <w:tcW w:type="dxa" w:w="1008"/>
          </w:tcPr>
          <w:p>
            <w:r>
              <w:rPr>
                <w:sz w:val="18"/>
              </w:rPr>
              <w:t>R</w:t>
            </w:r>
          </w:p>
        </w:tc>
        <w:tc>
          <w:tcPr>
            <w:tcW w:type="dxa" w:w="1008"/>
          </w:tcPr>
          <w:p>
            <w:r>
              <w:rPr>
                <w:sz w:val="18"/>
              </w:rPr>
              <w:t>C</w:t>
            </w:r>
          </w:p>
        </w:tc>
        <w:tc>
          <w:tcPr>
            <w:tcW w:type="dxa" w:w="1296"/>
          </w:tcPr>
          <w:p>
            <w:r>
              <w:rPr>
                <w:sz w:val="18"/>
              </w:rPr>
              <w:t>I</w:t>
            </w:r>
          </w:p>
        </w:tc>
      </w:tr>
    </w:tbl>
    <w:p/>
    <w:p/>
    <w:p>
      <w:pPr>
        <w:jc w:val="left"/>
      </w:pPr>
      <w:r>
        <w:rPr>
          <w:b/>
        </w:rPr>
        <w:t>Approuvé par :</w:t>
      </w:r>
    </w:p>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440"/>
            <w:shd w:fill="00528A" w:val="clear"/>
          </w:tcPr>
          <w:p>
            <w:pPr>
              <w:jc w:val="center"/>
            </w:pPr>
            <w:r>
              <w:rPr>
                <w:b/>
                <w:color w:val="FFFFFF"/>
                <w:sz w:val="18"/>
              </w:rPr>
            </w:r>
          </w:p>
        </w:tc>
        <w:tc>
          <w:tcPr>
            <w:tcW w:type="dxa" w:w="2160"/>
            <w:shd w:fill="00528A" w:val="clear"/>
          </w:tcPr>
          <w:p>
            <w:pPr>
              <w:jc w:val="center"/>
            </w:pPr>
            <w:r>
              <w:rPr>
                <w:b/>
                <w:color w:val="FFFFFF"/>
                <w:sz w:val="18"/>
              </w:rPr>
              <w:t>Nom</w:t>
            </w:r>
          </w:p>
        </w:tc>
        <w:tc>
          <w:tcPr>
            <w:tcW w:type="dxa" w:w="2160"/>
            <w:shd w:fill="00528A" w:val="clear"/>
          </w:tcPr>
          <w:p>
            <w:pPr>
              <w:jc w:val="center"/>
            </w:pPr>
            <w:r>
              <w:rPr>
                <w:b/>
                <w:color w:val="FFFFFF"/>
                <w:sz w:val="18"/>
              </w:rPr>
              <w:t>Fonction</w:t>
            </w:r>
          </w:p>
        </w:tc>
        <w:tc>
          <w:tcPr>
            <w:tcW w:type="dxa" w:w="1440"/>
            <w:shd w:fill="00528A" w:val="clear"/>
          </w:tcPr>
          <w:p>
            <w:pPr>
              <w:jc w:val="center"/>
            </w:pPr>
            <w:r>
              <w:rPr>
                <w:b/>
                <w:color w:val="FFFFFF"/>
                <w:sz w:val="18"/>
              </w:rPr>
              <w:t>Date</w:t>
            </w:r>
          </w:p>
        </w:tc>
        <w:tc>
          <w:tcPr>
            <w:tcW w:type="dxa" w:w="2160"/>
            <w:shd w:fill="00528A" w:val="clear"/>
          </w:tcPr>
          <w:p>
            <w:pPr>
              <w:jc w:val="center"/>
            </w:pPr>
            <w:r>
              <w:rPr>
                <w:b/>
                <w:color w:val="FFFFFF"/>
                <w:sz w:val="18"/>
              </w:rPr>
              <w:t>Signature</w:t>
            </w:r>
          </w:p>
        </w:tc>
      </w:tr>
      <w:tr>
        <w:tc>
          <w:tcPr>
            <w:tcW w:type="dxa" w:w="1440"/>
          </w:tcPr>
          <w:p>
            <w:r>
              <w:rPr>
                <w:sz w:val="18"/>
              </w:rPr>
              <w:t>Rédacteur</w:t>
            </w:r>
          </w:p>
        </w:tc>
        <w:tc>
          <w:tcPr>
            <w:tcW w:type="dxa" w:w="2160"/>
          </w:tcPr>
          <w:p>
            <w:r>
              <w:rPr>
                <w:sz w:val="18"/>
              </w:rPr>
              <w:t>[Nom]</w:t>
            </w:r>
          </w:p>
        </w:tc>
        <w:tc>
          <w:tcPr>
            <w:tcW w:type="dxa" w:w="2160"/>
          </w:tcPr>
          <w:p>
            <w:r>
              <w:rPr>
                <w:sz w:val="18"/>
              </w:rPr>
              <w:t>RSSI</w:t>
            </w:r>
          </w:p>
        </w:tc>
        <w:tc>
          <w:tcPr>
            <w:tcW w:type="dxa" w:w="1440"/>
          </w:tcPr>
          <w:p>
            <w:r>
              <w:rPr>
                <w:sz w:val="18"/>
              </w:rPr>
              <w:t>[Date]</w:t>
            </w:r>
          </w:p>
        </w:tc>
        <w:tc>
          <w:tcPr>
            <w:tcW w:type="dxa" w:w="2160"/>
          </w:tcPr>
          <w:p>
            <w:r>
              <w:rPr>
                <w:sz w:val="18"/>
              </w:rPr>
            </w:r>
          </w:p>
        </w:tc>
      </w:tr>
      <w:tr>
        <w:tc>
          <w:tcPr>
            <w:tcW w:type="dxa" w:w="1440"/>
          </w:tcPr>
          <w:p>
            <w:r>
              <w:rPr>
                <w:sz w:val="18"/>
              </w:rPr>
              <w:t>Validateur</w:t>
            </w:r>
          </w:p>
        </w:tc>
        <w:tc>
          <w:tcPr>
            <w:tcW w:type="dxa" w:w="2160"/>
          </w:tcPr>
          <w:p>
            <w:r>
              <w:rPr>
                <w:sz w:val="18"/>
              </w:rPr>
              <w:t>[Nom]</w:t>
            </w:r>
          </w:p>
        </w:tc>
        <w:tc>
          <w:tcPr>
            <w:tcW w:type="dxa" w:w="2160"/>
          </w:tcPr>
          <w:p>
            <w:r>
              <w:rPr>
                <w:sz w:val="18"/>
              </w:rPr>
              <w:t>DSI</w:t>
            </w:r>
          </w:p>
        </w:tc>
        <w:tc>
          <w:tcPr>
            <w:tcW w:type="dxa" w:w="1440"/>
          </w:tcPr>
          <w:p>
            <w:r>
              <w:rPr>
                <w:sz w:val="18"/>
              </w:rPr>
              <w:t>[Date]</w:t>
            </w:r>
          </w:p>
        </w:tc>
        <w:tc>
          <w:tcPr>
            <w:tcW w:type="dxa" w:w="2160"/>
          </w:tcPr>
          <w:p>
            <w:r>
              <w:rPr>
                <w:sz w:val="18"/>
              </w:rPr>
            </w:r>
          </w:p>
        </w:tc>
      </w:tr>
      <w:tr>
        <w:tc>
          <w:tcPr>
            <w:tcW w:type="dxa" w:w="1440"/>
          </w:tcPr>
          <w:p>
            <w:r>
              <w:rPr>
                <w:sz w:val="18"/>
              </w:rPr>
              <w:t>Approbateur</w:t>
            </w:r>
          </w:p>
        </w:tc>
        <w:tc>
          <w:tcPr>
            <w:tcW w:type="dxa" w:w="2160"/>
          </w:tcPr>
          <w:p>
            <w:r>
              <w:rPr>
                <w:sz w:val="18"/>
              </w:rPr>
              <w:t>[Nom]</w:t>
            </w:r>
          </w:p>
        </w:tc>
        <w:tc>
          <w:tcPr>
            <w:tcW w:type="dxa" w:w="2160"/>
          </w:tcPr>
          <w:p>
            <w:r>
              <w:rPr>
                <w:sz w:val="18"/>
              </w:rPr>
              <w:t>Directeur Général</w:t>
            </w:r>
          </w:p>
        </w:tc>
        <w:tc>
          <w:tcPr>
            <w:tcW w:type="dxa" w:w="1440"/>
          </w:tcPr>
          <w:p>
            <w:r>
              <w:rPr>
                <w:sz w:val="18"/>
              </w:rPr>
              <w:t>[Date]</w:t>
            </w:r>
          </w:p>
        </w:tc>
        <w:tc>
          <w:tcPr>
            <w:tcW w:type="dxa" w:w="2160"/>
          </w:tcPr>
          <w:p>
            <w:r>
              <w:rPr>
                <w:sz w:val="18"/>
              </w:rPr>
            </w:r>
          </w:p>
        </w:tc>
      </w:tr>
    </w:tbl>
    <w:sectPr w:rsidR="00FC693F" w:rsidRPr="0006063C"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w:comment w:id="1" w:author="Ayi NEDJIMI Consultants" w:date="2026-04-04T23:36:10Z">
    <w:p>
      <w:r>
        <w:t>Personnalisez cette section avec le contexte spécifique de votre organisation, son secteur d'activité et ses enjeux de sécurité.</w:t>
      </w:r>
    </w:p>
  </w:comment>
  <w:comment w:id="2" w:author="Ayi NEDJIMI Consultants" w:date="2026-04-04T23:36:10Z">
    <w:p>
      <w:r>
        <w:t>Adaptez la liste des référentiels en fonction de votre secteur (santé, finance, défense, etc.)</w:t>
      </w:r>
    </w:p>
  </w:comment>
  <w:comment w:id="3" w:author="Ayi NEDJIMI Consultants" w:date="2026-04-04T23:36:10Z">
    <w:p>
      <w:r>
        <w:t>Décrivez ici l'organisation de la sécurité dans votre structure : comités, fréquence des réunions, chaîne de décision.</w:t>
      </w:r>
    </w:p>
  </w:comment>
  <w:comment w:id="4" w:author="Ayi NEDJIMI Consultants" w:date="2026-04-04T23:36:10Z">
    <w:p>
      <w:r>
        <w:t>Définissez les niveaux de classification adaptés à votre organisation. Les niveaux C1 à C4 sont un exemple courant.</w:t>
      </w:r>
    </w:p>
  </w:comment>
  <w:comment w:id="5" w:author="Ayi NEDJIMI Consultants" w:date="2026-04-04T23:36:10Z">
    <w:p>
      <w:r>
        <w:t>Adaptez les règles d'accès à votre infrastructure : Active Directory, IAM cloud, SSO, etc.</w:t>
      </w:r>
    </w:p>
  </w:comment>
  <w:comment w:id="6" w:author="Ayi NEDJIMI Consultants" w:date="2026-04-04T23:36:10Z">
    <w:p>
      <w:r>
        <w:t>Détaillez votre architecture réseau, les zones de confiance et les règles de filtrage.</w:t>
      </w:r>
    </w:p>
  </w:comment>
  <w:comment w:id="7" w:author="Ayi NEDJIMI Consultants" w:date="2026-04-04T23:36:10Z">
    <w:p>
      <w:r>
        <w:t>Adaptez le processus de gestion des incidents à votre organisation : canaux de communication, outils de ticketing, contacts CERT/CSIRT.</w:t>
      </w:r>
    </w:p>
  </w:comment>
  <w:comment w:id="8" w:author="Ayi NEDJIMI Consultants" w:date="2026-04-04T23:36:10Z">
    <w:p>
      <w:r>
        <w:t>Définissez les RTO/RPO pour chaque application critique en concertation avec les métiers.</w:t>
      </w:r>
    </w:p>
  </w:comment>
  <w:comment w:id="9" w:author="Ayi NEDJIMI Consultants" w:date="2026-04-04T23:36:10Z">
    <w:p>
      <w:r>
        <w:t>Intégrez ici votre processus d'évaluation des fournisseurs et les clauses contractuelles types.</w:t>
      </w:r>
    </w:p>
  </w:comment>
  <w:comment w:id="10" w:author="Ayi NEDJIMI Consultants" w:date="2026-04-04T23:36:10Z">
    <w:p>
      <w:r>
        <w:t>R=Réalise, A=Approuve, C=Consulté, I=Informé. Complétez avec vos processus spécifiques.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6"/>
      </w:rPr>
      <w:t xml:space="preserve">Template par Ayi NEDJIMI Consultants — </w:t>
    </w:r>
    <w:hyperlink r:id="rId1">
      <w:r>
        <w:rPr>
          <w:rStyle w:val="Hyperlink"/>
          <w:color w:val="0052CC"/>
          <w:u w:val="single"/>
          <w:sz w:val="16"/>
        </w:rPr>
        <w:t>ayinedjimi-consultants.fr/iso-27001</w:t>
      </w:r>
    </w:hyperlink>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00528A"/>
        <w:sz w:val="16"/>
      </w:rPr>
      <w:t>Ayi NEDJIMI Consultants — ayinedjimi-consultants.fr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comments" Target="comments.xm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yinedjimi-consultants.fr/iso-27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