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00528A"/>
          <w:sz w:val="56"/>
        </w:rPr>
        <w:t>Charte d'Utilisation</w:t>
        <w:br/>
        <w:t>des Systèmes d'Information</w:t>
      </w:r>
    </w:p>
    <w:p/>
    <w:p>
      <w:pPr>
        <w:jc w:val="center"/>
      </w:pPr>
      <w:r>
        <w:rPr>
          <w:i/>
          <w:color w:val="333333"/>
          <w:sz w:val="36"/>
        </w:rPr>
        <w:t>[Nom de l'Entreprise]</w:t>
      </w:r>
    </w:p>
    <w:p/>
    <w:p>
      <w:pPr>
        <w:jc w:val="center"/>
      </w:pPr>
      <w:r>
        <w:rPr>
          <w:color w:val="666666"/>
          <w:sz w:val="24"/>
        </w:rPr>
        <w:t>Version 1.0 — 04/04/2026</w:t>
        <w:br/>
        <w:t>Document annexé au règlement intérieur</w:t>
      </w:r>
    </w:p>
    <w:p>
      <w:r>
        <w:br w:type="page"/>
      </w:r>
    </w:p>
    <w:p>
      <w:commentRangeStart w:id="1"/>
      <w:pPr>
        <w:pStyle w:val="Heading1"/>
      </w:pPr>
      <w:r>
        <w:t>Préambule</w:t>
      </w:r>
      <w:commentRangeEnd w:id="1"/>
      <w:r>
        <w:rPr>
          <w:rStyle w:val="CommentReference"/>
        </w:rPr>
        <w:commentReference w:id="1"/>
      </w:r>
    </w:p>
    <w:p>
      <w:r>
        <w:t>La présente charte a pour objet de définir les règles d'utilisation des systèmes d'information mis à disposition par [Nom de l'Entreprise] à l'ensemble de ses collaborateurs, prestataires et utilisateurs temporaires. Elle s'inscrit dans le cadre de la Politique de Sécurité des Systèmes d'Information (PSSI) et du règlement intérieur de l'entreprise.</w:t>
      </w:r>
    </w:p>
    <w:p>
      <w:r>
        <w:t>Cette charte est opposable à tout utilisateur des systèmes d'information de l'entreprise. Elle est annexée au règlement intérieur conformément à l'article L.1321-5 du Code du travail.</w:t>
      </w:r>
    </w:p>
    <w:p>
      <w:pPr>
        <w:pStyle w:val="Heading1"/>
      </w:pPr>
      <w:r>
        <w:t>1. Objet et Champ d'Application</w:t>
      </w:r>
    </w:p>
    <w:p>
      <w:pPr>
        <w:pStyle w:val="Heading2"/>
      </w:pPr>
      <w:r>
        <w:t>1.1 Objet</w:t>
      </w:r>
    </w:p>
    <w:p>
      <w:r>
        <w:t>La présente charte définit les conditions d'utilisation des moyens informatiques et de communication électronique mis à la disposition des utilisateurs par [Nom de l'Entreprise].</w:t>
      </w:r>
    </w:p>
    <w:p>
      <w:pPr>
        <w:pStyle w:val="Heading2"/>
      </w:pPr>
      <w:r>
        <w:t>1.2 Systèmes concernés</w:t>
      </w:r>
    </w:p>
    <w:p>
      <w:pPr>
        <w:pStyle w:val="ListBullet"/>
      </w:pPr>
      <w:r>
        <w:t>Postes de travail (fixes et portables), smartphones et tablettes</w:t>
      </w:r>
    </w:p>
    <w:p>
      <w:pPr>
        <w:pStyle w:val="ListBullet"/>
      </w:pPr>
      <w:r>
        <w:t>Réseau informatique (LAN, Wi-Fi, VPN)</w:t>
      </w:r>
    </w:p>
    <w:p>
      <w:pPr>
        <w:pStyle w:val="ListBullet"/>
      </w:pPr>
      <w:r>
        <w:t>Messagerie électronique et outils collaboratifs (Teams, Slack, etc.)</w:t>
      </w:r>
    </w:p>
    <w:p>
      <w:pPr>
        <w:pStyle w:val="ListBullet"/>
      </w:pPr>
      <w:r>
        <w:t>Applications métier et bases de données</w:t>
      </w:r>
    </w:p>
    <w:p>
      <w:pPr>
        <w:pStyle w:val="ListBullet"/>
      </w:pPr>
      <w:r>
        <w:t>Accès Internet</w:t>
      </w:r>
    </w:p>
    <w:p>
      <w:pPr>
        <w:pStyle w:val="ListBullet"/>
      </w:pPr>
      <w:r>
        <w:t>Imprimantes, scanners et équipements partagés</w:t>
      </w:r>
    </w:p>
    <w:p>
      <w:pPr>
        <w:pStyle w:val="ListBullet"/>
      </w:pPr>
      <w:r>
        <w:t>Services cloud (SaaS, IaaS, PaaS)</w:t>
      </w:r>
    </w:p>
    <w:p>
      <w:pPr>
        <w:pStyle w:val="ListBullet"/>
      </w:pPr>
      <w:r>
        <w:t>Supports de stockage amovibles (clés USB, disques externes)</w:t>
      </w:r>
    </w:p>
    <w:p>
      <w:pPr>
        <w:pStyle w:val="Heading2"/>
      </w:pPr>
      <w:r>
        <w:t>1.3 Utilisateurs concernés</w:t>
      </w:r>
    </w:p>
    <w:p>
      <w:r>
        <w:t>Tout collaborateur (CDI, CDD, alternant, stagiaire), prestataire, intérimaire ou visiteur ayant accès aux systèmes d'information, quel que soit son statut ou sa durée de présence.</w:t>
      </w:r>
    </w:p>
    <w:p>
      <w:r>
        <w:br w:type="page"/>
      </w:r>
    </w:p>
    <w:p>
      <w:commentRangeStart w:id="2"/>
      <w:pPr>
        <w:pStyle w:val="Heading1"/>
      </w:pPr>
      <w:r>
        <w:t>2. Droits et Devoirs de l'Utilisateur</w:t>
      </w:r>
      <w:commentRangeEnd w:id="2"/>
      <w:r>
        <w:rPr>
          <w:rStyle w:val="CommentReference"/>
        </w:rPr>
        <w:commentReference w:id="2"/>
      </w:r>
    </w:p>
    <w:p>
      <w:pPr>
        <w:pStyle w:val="Heading2"/>
      </w:pPr>
      <w:r>
        <w:t>2.1 Droits de l'utilisateur</w:t>
      </w:r>
    </w:p>
    <w:p>
      <w:pPr>
        <w:pStyle w:val="ListBullet"/>
      </w:pPr>
      <w:r>
        <w:t>Usage professionnel des outils mis à disposition</w:t>
      </w:r>
    </w:p>
    <w:p>
      <w:pPr>
        <w:pStyle w:val="ListBullet"/>
      </w:pPr>
      <w:r>
        <w:t>Usage personnel résiduel et raisonnable, sous réserve qu'il ne contrevienne pas aux règles de sécurité ni ne porte atteinte à la productivité</w:t>
      </w:r>
    </w:p>
    <w:p>
      <w:pPr>
        <w:pStyle w:val="ListBullet"/>
      </w:pPr>
      <w:r>
        <w:t>Droit au respect de la vie privée dans les limites du cadre légal</w:t>
      </w:r>
    </w:p>
    <w:p>
      <w:pPr>
        <w:pStyle w:val="ListBullet"/>
      </w:pPr>
      <w:r>
        <w:t>Droit d'information sur les dispositifs de surveillance éventuels</w:t>
      </w:r>
    </w:p>
    <w:p>
      <w:pPr>
        <w:pStyle w:val="ListBullet"/>
      </w:pPr>
      <w:r>
        <w:t>Droit d'accès, de rectification et de suppression de ses données personnelles (RGPD)</w:t>
      </w:r>
    </w:p>
    <w:p>
      <w:pPr>
        <w:pStyle w:val="Heading2"/>
      </w:pPr>
      <w:r>
        <w:t>2.2 Devoirs de l'utilisateur</w:t>
      </w:r>
    </w:p>
    <w:p>
      <w:pPr>
        <w:pStyle w:val="ListBullet"/>
      </w:pPr>
      <w:r>
        <w:t>Respecter les règles de sécurité définies par la PSSI et la présente charte</w:t>
      </w:r>
    </w:p>
    <w:p>
      <w:pPr>
        <w:pStyle w:val="ListBullet"/>
      </w:pPr>
      <w:r>
        <w:t>Protéger la confidentialité des informations auxquelles il a accès</w:t>
      </w:r>
    </w:p>
    <w:p>
      <w:pPr>
        <w:pStyle w:val="ListBullet"/>
      </w:pPr>
      <w:r>
        <w:t>Ne pas tenter de contourner les dispositifs de sécurité</w:t>
      </w:r>
    </w:p>
    <w:p>
      <w:pPr>
        <w:pStyle w:val="ListBullet"/>
      </w:pPr>
      <w:r>
        <w:t>Signaler immédiatement tout incident de sécurité ou comportement suspect</w:t>
      </w:r>
    </w:p>
    <w:p>
      <w:pPr>
        <w:pStyle w:val="ListBullet"/>
      </w:pPr>
      <w:r>
        <w:t>Ne pas installer de logiciels non autorisés</w:t>
      </w:r>
    </w:p>
    <w:p>
      <w:pPr>
        <w:pStyle w:val="ListBullet"/>
      </w:pPr>
      <w:r>
        <w:t>Verrouiller sa session en cas d'absence (même brève)</w:t>
      </w:r>
    </w:p>
    <w:p>
      <w:pPr>
        <w:pStyle w:val="ListBullet"/>
      </w:pPr>
      <w:r>
        <w:t>Ne pas divulguer ses identifiants et mots de passe</w:t>
      </w:r>
    </w:p>
    <w:p>
      <w:r>
        <w:br w:type="page"/>
      </w:r>
    </w:p>
    <w:p>
      <w:pPr>
        <w:pStyle w:val="Heading1"/>
      </w:pPr>
      <w:r>
        <w:t>3. Accès et Authentification</w:t>
      </w:r>
    </w:p>
    <w:p>
      <w:pPr>
        <w:pStyle w:val="Heading2"/>
      </w:pPr>
      <w:r>
        <w:t>3.1 Gestion des mots de passe</w:t>
      </w:r>
    </w:p>
    <w:tbl>
      <w:tblPr>
        <w:tblStyle w:val="TableGrid"/>
        <w:tblW w:type="auto" w:w="0"/>
        <w:jc w:val="center"/>
        <w:tblLook w:firstColumn="1" w:firstRow="1" w:lastColumn="0" w:lastRow="0" w:noHBand="0" w:noVBand="1" w:val="04A0"/>
      </w:tblPr>
      <w:tblGrid>
        <w:gridCol w:w="4320"/>
        <w:gridCol w:w="4320"/>
      </w:tblGrid>
      <w:tr>
        <w:tc>
          <w:tcPr>
            <w:tcW w:type="dxa" w:w="3600"/>
            <w:shd w:fill="00528A" w:val="clear"/>
          </w:tcPr>
          <w:p>
            <w:pPr>
              <w:jc w:val="center"/>
            </w:pPr>
            <w:r>
              <w:rPr>
                <w:b/>
                <w:color w:val="FFFFFF"/>
                <w:sz w:val="18"/>
              </w:rPr>
              <w:t>Règle</w:t>
            </w:r>
          </w:p>
        </w:tc>
        <w:tc>
          <w:tcPr>
            <w:tcW w:type="dxa" w:w="5760"/>
            <w:shd w:fill="00528A" w:val="clear"/>
          </w:tcPr>
          <w:p>
            <w:pPr>
              <w:jc w:val="center"/>
            </w:pPr>
            <w:r>
              <w:rPr>
                <w:b/>
                <w:color w:val="FFFFFF"/>
                <w:sz w:val="18"/>
              </w:rPr>
              <w:t>Exigence</w:t>
            </w:r>
          </w:p>
        </w:tc>
      </w:tr>
      <w:tr>
        <w:tc>
          <w:tcPr>
            <w:tcW w:type="dxa" w:w="3600"/>
          </w:tcPr>
          <w:p>
            <w:r>
              <w:rPr>
                <w:sz w:val="18"/>
              </w:rPr>
              <w:t>Longueur minimale</w:t>
            </w:r>
          </w:p>
        </w:tc>
        <w:tc>
          <w:tcPr>
            <w:tcW w:type="dxa" w:w="5760"/>
          </w:tcPr>
          <w:p>
            <w:r>
              <w:rPr>
                <w:sz w:val="18"/>
              </w:rPr>
              <w:t>12 caractères</w:t>
            </w:r>
          </w:p>
        </w:tc>
      </w:tr>
      <w:tr>
        <w:tc>
          <w:tcPr>
            <w:tcW w:type="dxa" w:w="3600"/>
          </w:tcPr>
          <w:p>
            <w:r>
              <w:rPr>
                <w:sz w:val="18"/>
              </w:rPr>
              <w:t>Complexité</w:t>
            </w:r>
          </w:p>
        </w:tc>
        <w:tc>
          <w:tcPr>
            <w:tcW w:type="dxa" w:w="5760"/>
          </w:tcPr>
          <w:p>
            <w:r>
              <w:rPr>
                <w:sz w:val="18"/>
              </w:rPr>
              <w:t>Majuscules, minuscules, chiffres et caractères spéciaux</w:t>
            </w:r>
          </w:p>
        </w:tc>
      </w:tr>
      <w:tr>
        <w:tc>
          <w:tcPr>
            <w:tcW w:type="dxa" w:w="3600"/>
          </w:tcPr>
          <w:p>
            <w:r>
              <w:rPr>
                <w:sz w:val="18"/>
              </w:rPr>
              <w:t>Renouvellement</w:t>
            </w:r>
          </w:p>
        </w:tc>
        <w:tc>
          <w:tcPr>
            <w:tcW w:type="dxa" w:w="5760"/>
          </w:tcPr>
          <w:p>
            <w:r>
              <w:rPr>
                <w:sz w:val="18"/>
              </w:rPr>
              <w:t>Tous les 90 jours (60 jours pour les comptes à privilèges)</w:t>
            </w:r>
          </w:p>
        </w:tc>
      </w:tr>
      <w:tr>
        <w:tc>
          <w:tcPr>
            <w:tcW w:type="dxa" w:w="3600"/>
          </w:tcPr>
          <w:p>
            <w:r>
              <w:rPr>
                <w:sz w:val="18"/>
              </w:rPr>
              <w:t>Historique</w:t>
            </w:r>
          </w:p>
        </w:tc>
        <w:tc>
          <w:tcPr>
            <w:tcW w:type="dxa" w:w="5760"/>
          </w:tcPr>
          <w:p>
            <w:r>
              <w:rPr>
                <w:sz w:val="18"/>
              </w:rPr>
              <w:t>Les 12 derniers mots de passe ne peuvent être réutilisés</w:t>
            </w:r>
          </w:p>
        </w:tc>
      </w:tr>
      <w:tr>
        <w:tc>
          <w:tcPr>
            <w:tcW w:type="dxa" w:w="3600"/>
          </w:tcPr>
          <w:p>
            <w:r>
              <w:rPr>
                <w:sz w:val="18"/>
              </w:rPr>
              <w:t>Partage</w:t>
            </w:r>
          </w:p>
        </w:tc>
        <w:tc>
          <w:tcPr>
            <w:tcW w:type="dxa" w:w="5760"/>
          </w:tcPr>
          <w:p>
            <w:r>
              <w:rPr>
                <w:sz w:val="18"/>
              </w:rPr>
              <w:t>Strictement interdit — chaque compte est individuel et nominatif</w:t>
            </w:r>
          </w:p>
        </w:tc>
      </w:tr>
      <w:tr>
        <w:tc>
          <w:tcPr>
            <w:tcW w:type="dxa" w:w="3600"/>
          </w:tcPr>
          <w:p>
            <w:r>
              <w:rPr>
                <w:sz w:val="18"/>
              </w:rPr>
              <w:t>Gestionnaire de mots de passe</w:t>
            </w:r>
          </w:p>
        </w:tc>
        <w:tc>
          <w:tcPr>
            <w:tcW w:type="dxa" w:w="5760"/>
          </w:tcPr>
          <w:p>
            <w:r>
              <w:rPr>
                <w:sz w:val="18"/>
              </w:rPr>
              <w:t>Recommandé (outil approuvé : [à définir])</w:t>
            </w:r>
          </w:p>
        </w:tc>
      </w:tr>
    </w:tbl>
    <w:p>
      <w:pPr>
        <w:pStyle w:val="Heading2"/>
      </w:pPr>
      <w:r>
        <w:t>3.2 Authentification multi-facteurs (MFA)</w:t>
      </w:r>
    </w:p>
    <w:p>
      <w:r>
        <w:t>L'authentification multi-facteurs est obligatoire pour les accès suivants :</w:t>
      </w:r>
    </w:p>
    <w:p>
      <w:pPr>
        <w:pStyle w:val="ListBullet"/>
      </w:pPr>
      <w:r>
        <w:t>Connexion VPN (accès distant)</w:t>
      </w:r>
    </w:p>
    <w:p>
      <w:pPr>
        <w:pStyle w:val="ListBullet"/>
      </w:pPr>
      <w:r>
        <w:t>Applications cloud (Microsoft 365, Google Workspace, etc.)</w:t>
      </w:r>
    </w:p>
    <w:p>
      <w:pPr>
        <w:pStyle w:val="ListBullet"/>
      </w:pPr>
      <w:r>
        <w:t>Comptes à privilèges (administrateurs système et réseau)</w:t>
      </w:r>
    </w:p>
    <w:p>
      <w:pPr>
        <w:pStyle w:val="ListBullet"/>
      </w:pPr>
      <w:r>
        <w:t>Applications contenant des données sensibles ou personnelles</w:t>
      </w:r>
    </w:p>
    <w:p>
      <w:pPr>
        <w:pStyle w:val="Heading2"/>
      </w:pPr>
      <w:r>
        <w:t>3.3 Gestion des sessions</w:t>
      </w:r>
    </w:p>
    <w:p>
      <w:pPr>
        <w:pStyle w:val="ListBullet"/>
      </w:pPr>
      <w:r>
        <w:t>Verrouillage automatique de la session après 5 minutes d'inactivité</w:t>
      </w:r>
    </w:p>
    <w:p>
      <w:pPr>
        <w:pStyle w:val="ListBullet"/>
      </w:pPr>
      <w:r>
        <w:t>Déconnexion automatique après 30 minutes d'inactivité sur les applications web</w:t>
      </w:r>
    </w:p>
    <w:p>
      <w:pPr>
        <w:pStyle w:val="ListBullet"/>
      </w:pPr>
      <w:r>
        <w:t>L'utilisateur doit verrouiller manuellement sa session dès qu'il quitte son poste (Windows+L / Ctrl+Cmd+Q)</w:t>
      </w:r>
    </w:p>
    <w:p>
      <w:r>
        <w:br w:type="page"/>
      </w:r>
    </w:p>
    <w:p>
      <w:commentRangeStart w:id="3"/>
      <w:pPr>
        <w:pStyle w:val="Heading1"/>
      </w:pPr>
      <w:r>
        <w:t>4. Messagerie et Communication</w:t>
      </w:r>
      <w:commentRangeEnd w:id="3"/>
      <w:r>
        <w:rPr>
          <w:rStyle w:val="CommentReference"/>
        </w:rPr>
        <w:commentReference w:id="3"/>
      </w:r>
    </w:p>
    <w:p>
      <w:pPr>
        <w:pStyle w:val="Heading2"/>
      </w:pPr>
      <w:r>
        <w:t>4.1 Messagerie électronique</w:t>
      </w:r>
    </w:p>
    <w:p>
      <w:pPr>
        <w:pStyle w:val="ListBullet"/>
      </w:pPr>
      <w:r>
        <w:t>La messagerie est un outil professionnel ; l'usage personnel doit rester marginal</w:t>
      </w:r>
    </w:p>
    <w:p>
      <w:pPr>
        <w:pStyle w:val="ListBullet"/>
      </w:pPr>
      <w:r>
        <w:t>Les messages identifiés comme « Personnel » dans l'objet ne seront pas consultés par l'employeur</w:t>
      </w:r>
    </w:p>
    <w:p>
      <w:pPr>
        <w:pStyle w:val="ListBullet"/>
      </w:pPr>
      <w:r>
        <w:t>Il est interdit d'ouvrir les pièces jointes suspectes ou provenant d'expéditeurs inconnus</w:t>
      </w:r>
    </w:p>
    <w:p>
      <w:pPr>
        <w:pStyle w:val="ListBullet"/>
      </w:pPr>
      <w:r>
        <w:t>Le transfert automatique de messages vers une messagerie externe est interdit</w:t>
      </w:r>
    </w:p>
    <w:p>
      <w:pPr>
        <w:pStyle w:val="ListBullet"/>
      </w:pPr>
      <w:r>
        <w:t>Les informations classifiées C3 ou C4 doivent être chiffrées avant envoi par email</w:t>
      </w:r>
    </w:p>
    <w:p>
      <w:pPr>
        <w:pStyle w:val="ListBullet"/>
      </w:pPr>
      <w:r>
        <w:t>La taille maximale des pièces jointes est limitée à [X] Mo</w:t>
      </w:r>
    </w:p>
    <w:p>
      <w:pPr>
        <w:pStyle w:val="Heading2"/>
      </w:pPr>
      <w:r>
        <w:t>4.2 Outils collaboratifs (Teams, Slack, etc.)</w:t>
      </w:r>
    </w:p>
    <w:p>
      <w:r>
        <w:t>Les mêmes règles de confidentialité et de courtoisie s'appliquent aux outils de messagerie instantanée et de visioconférence. Les conversations professionnelles ne doivent pas transiter par des messageries personnelles (WhatsApp, Telegram, etc.).</w:t>
      </w:r>
    </w:p>
    <w:p>
      <w:pPr>
        <w:pStyle w:val="Heading2"/>
      </w:pPr>
      <w:r>
        <w:t>4.3 Réseaux sociaux</w:t>
      </w:r>
    </w:p>
    <w:p>
      <w:r>
        <w:t>L'utilisation des réseaux sociaux à titre professionnel (LinkedIn, Twitter/X) doit respecter la politique de communication de l'entreprise. Toute prise de parole engageant l'image de l'entreprise doit être préalablement validée par la Direction de la Communication.</w:t>
      </w:r>
    </w:p>
    <w:p>
      <w:r>
        <w:br w:type="page"/>
      </w:r>
    </w:p>
    <w:p>
      <w:pPr>
        <w:pStyle w:val="Heading1"/>
      </w:pPr>
      <w:r>
        <w:t>5. Internet et Navigation</w:t>
      </w:r>
    </w:p>
    <w:p>
      <w:pPr>
        <w:pStyle w:val="Heading2"/>
      </w:pPr>
      <w:r>
        <w:t>5.1 Accès Internet</w:t>
      </w:r>
    </w:p>
    <w:p>
      <w:r>
        <w:t>L'accès Internet est fourni à des fins professionnelles. Un usage personnel raisonnable est toléré, dans le respect de la loi et des règles de l'entreprise.</w:t>
      </w:r>
    </w:p>
    <w:p>
      <w:pPr>
        <w:pStyle w:val="Heading2"/>
      </w:pPr>
      <w:r>
        <w:t>5.2 Sites et contenus interdits</w:t>
      </w:r>
    </w:p>
    <w:p>
      <w:commentRangeStart w:id="4"/>
      <w:r>
        <w:t>L'accès aux catégories de sites suivantes est interdit et filtré :</w:t>
      </w:r>
      <w:commentRangeEnd w:id="4"/>
      <w:r>
        <w:rPr>
          <w:rStyle w:val="CommentReference"/>
        </w:rPr>
        <w:commentReference w:id="4"/>
      </w:r>
    </w:p>
    <w:p>
      <w:pPr>
        <w:pStyle w:val="ListBullet"/>
      </w:pPr>
      <w:r>
        <w:t>Sites à caractère pornographique, violent, raciste ou discriminatoire</w:t>
      </w:r>
    </w:p>
    <w:p>
      <w:pPr>
        <w:pStyle w:val="ListBullet"/>
      </w:pPr>
      <w:r>
        <w:t>Sites de téléchargement illégal (piratage, warez, torrents)</w:t>
      </w:r>
    </w:p>
    <w:p>
      <w:pPr>
        <w:pStyle w:val="ListBullet"/>
      </w:pPr>
      <w:r>
        <w:t>Sites de jeux d'argent en ligne</w:t>
      </w:r>
    </w:p>
    <w:p>
      <w:pPr>
        <w:pStyle w:val="ListBullet"/>
      </w:pPr>
      <w:r>
        <w:t>Sites de hacking ou proposant des outils malveillants</w:t>
      </w:r>
    </w:p>
    <w:p>
      <w:pPr>
        <w:pStyle w:val="ListBullet"/>
      </w:pPr>
      <w:r>
        <w:t>Plateformes de stockage cloud non autorisées (Dropbox, WeTransfer, etc.)</w:t>
      </w:r>
    </w:p>
    <w:p>
      <w:pPr>
        <w:pStyle w:val="Heading2"/>
      </w:pPr>
      <w:r>
        <w:t>5.3 Téléchargements</w:t>
      </w:r>
    </w:p>
    <w:p>
      <w:r>
        <w:t>Le téléchargement de logiciels est soumis à autorisation préalable de la DSI. Seuls les logiciels figurant dans le catalogue approuvé peuvent être installés. Tout téléchargement de fichiers volumineux doit être justifié par un besoin professionnel.</w:t>
      </w:r>
    </w:p>
    <w:p>
      <w:r>
        <w:br w:type="page"/>
      </w:r>
    </w:p>
    <w:p>
      <w:commentRangeStart w:id="5"/>
      <w:pPr>
        <w:pStyle w:val="Heading1"/>
      </w:pPr>
      <w:r>
        <w:t>6. Appareils Mobiles et BYOD</w:t>
      </w:r>
      <w:commentRangeEnd w:id="5"/>
      <w:r>
        <w:rPr>
          <w:rStyle w:val="CommentReference"/>
        </w:rPr>
        <w:commentReference w:id="5"/>
      </w:r>
    </w:p>
    <w:p>
      <w:r>
        <w:t>Les appareils mobiles personnels (BYOD) ne sont autorisés à accéder aux ressources de l'entreprise que sous réserve du respect des conditions suivantes :</w:t>
      </w:r>
    </w:p>
    <w:p>
      <w:pPr>
        <w:pStyle w:val="ListBullet"/>
      </w:pPr>
      <w:r>
        <w:t>Inscription préalable dans la solution de gestion des appareils mobiles (MDM)</w:t>
      </w:r>
    </w:p>
    <w:p>
      <w:pPr>
        <w:pStyle w:val="ListBullet"/>
      </w:pPr>
      <w:r>
        <w:t>Chiffrement du stockage activé</w:t>
      </w:r>
    </w:p>
    <w:p>
      <w:pPr>
        <w:pStyle w:val="ListBullet"/>
      </w:pPr>
      <w:r>
        <w:t>Verrouillage par code PIN / biométrie</w:t>
      </w:r>
    </w:p>
    <w:p>
      <w:pPr>
        <w:pStyle w:val="ListBullet"/>
      </w:pPr>
      <w:r>
        <w:t>Système d'exploitation à jour (dernière version majeure - 1 maximum)</w:t>
      </w:r>
    </w:p>
    <w:p>
      <w:pPr>
        <w:pStyle w:val="ListBullet"/>
      </w:pPr>
      <w:r>
        <w:t>Possibilité d'effacement à distance en cas de perte ou vol</w:t>
      </w:r>
    </w:p>
    <w:p>
      <w:pPr>
        <w:pStyle w:val="ListBullet"/>
      </w:pPr>
      <w:r>
        <w:t>Séparation des données personnelles et professionnelles (conteneur sécurisé)</w:t>
      </w:r>
    </w:p>
    <w:p>
      <w:commentRangeStart w:id="6"/>
      <w:pPr>
        <w:pStyle w:val="Heading1"/>
      </w:pPr>
      <w:r>
        <w:t>7. Données Personnelles et RGPD</w:t>
      </w:r>
      <w:commentRangeEnd w:id="6"/>
      <w:r>
        <w:rPr>
          <w:rStyle w:val="CommentReference"/>
        </w:rPr>
        <w:commentReference w:id="6"/>
      </w:r>
    </w:p>
    <w:p>
      <w:r>
        <w:t>Conformément au Règlement Général sur la Protection des Données (RGPD — UE 2016/679) et à la loi Informatique et Libertés, chaque utilisateur s'engage à :</w:t>
      </w:r>
    </w:p>
    <w:p>
      <w:pPr>
        <w:pStyle w:val="ListBullet"/>
      </w:pPr>
      <w:r>
        <w:t>Traiter les données personnelles uniquement dans le cadre des finalités définies</w:t>
      </w:r>
    </w:p>
    <w:p>
      <w:pPr>
        <w:pStyle w:val="ListBullet"/>
      </w:pPr>
      <w:r>
        <w:t>Ne pas collecter de données personnelles sans base légale</w:t>
      </w:r>
    </w:p>
    <w:p>
      <w:pPr>
        <w:pStyle w:val="ListBullet"/>
      </w:pPr>
      <w:r>
        <w:t>Respecter le principe de minimisation des données</w:t>
      </w:r>
    </w:p>
    <w:p>
      <w:pPr>
        <w:pStyle w:val="ListBullet"/>
      </w:pPr>
      <w:r>
        <w:t>Ne pas transférer de données personnelles hors de l'UE sans autorisation</w:t>
      </w:r>
    </w:p>
    <w:p>
      <w:pPr>
        <w:pStyle w:val="ListBullet"/>
      </w:pPr>
      <w:r>
        <w:t>Signaler toute violation de données personnelles au DPO dans les plus brefs délais</w:t>
      </w:r>
    </w:p>
    <w:p>
      <w:pPr>
        <w:pStyle w:val="ListBullet"/>
      </w:pPr>
      <w:r>
        <w:t>Ne pas conserver les données au-delà de la durée de conservation définie</w:t>
      </w:r>
    </w:p>
    <w:p>
      <w:r>
        <w:br w:type="page"/>
      </w:r>
    </w:p>
    <w:p>
      <w:pPr>
        <w:pStyle w:val="Heading1"/>
      </w:pPr>
      <w:r>
        <w:t>8. Télétravail et Accès Distant</w:t>
      </w:r>
    </w:p>
    <w:p>
      <w:r>
        <w:t>En situation de télétravail, l'utilisateur s'engage à respecter les règles suivantes :</w:t>
      </w:r>
    </w:p>
    <w:p>
      <w:pPr>
        <w:pStyle w:val="ListBullet"/>
      </w:pPr>
      <w:r>
        <w:t>Utiliser exclusivement la connexion VPN de l'entreprise pour accéder aux ressources internes</w:t>
      </w:r>
    </w:p>
    <w:p>
      <w:pPr>
        <w:pStyle w:val="ListBullet"/>
      </w:pPr>
      <w:r>
        <w:t>Travailler dans un environnement garantissant la confidentialité (écran non visible par des tiers)</w:t>
      </w:r>
    </w:p>
    <w:p>
      <w:pPr>
        <w:pStyle w:val="ListBullet"/>
      </w:pPr>
      <w:r>
        <w:t>Ne pas utiliser de réseaux Wi-Fi publics non sécurisés sans VPN</w:t>
      </w:r>
    </w:p>
    <w:p>
      <w:pPr>
        <w:pStyle w:val="ListBullet"/>
      </w:pPr>
      <w:r>
        <w:t>Ne pas stocker de données professionnelles sur des supports personnels non chiffrés</w:t>
      </w:r>
    </w:p>
    <w:p>
      <w:pPr>
        <w:pStyle w:val="ListBullet"/>
      </w:pPr>
      <w:r>
        <w:t>Assurer la sécurité physique du matériel professionnel (ne pas le laisser sans surveillance)</w:t>
      </w:r>
    </w:p>
    <w:p>
      <w:pPr>
        <w:pStyle w:val="ListBullet"/>
      </w:pPr>
      <w:r>
        <w:t>Ne pas imprimer de documents classifiés C3 ou C4 en dehors des locaux de l'entreprise</w:t>
      </w:r>
    </w:p>
    <w:p>
      <w:pPr>
        <w:pStyle w:val="ListBullet"/>
      </w:pPr>
      <w:r>
        <w:t>Utiliser un filtre de confidentialité sur l'écran si travail dans un espace partagé (coworking, transport)</w:t>
      </w:r>
    </w:p>
    <w:p>
      <w:commentRangeStart w:id="7"/>
      <w:pPr>
        <w:pStyle w:val="Heading1"/>
      </w:pPr>
      <w:r>
        <w:t>9. Incidents de Sécurité</w:t>
      </w:r>
      <w:commentRangeEnd w:id="7"/>
      <w:r>
        <w:rPr>
          <w:rStyle w:val="CommentReference"/>
        </w:rPr>
        <w:commentReference w:id="7"/>
      </w:r>
    </w:p>
    <w:p>
      <w:pPr>
        <w:pStyle w:val="Heading2"/>
      </w:pPr>
      <w:r>
        <w:t>9.1 Obligation de signalement</w:t>
      </w:r>
    </w:p>
    <w:p>
      <w:r>
        <w:t>Tout utilisateur ayant connaissance d'un incident de sécurité (réel ou suspecté) est tenu de le signaler immédiatement au service informatique ou au RSSI via les canaux suivants :</w:t>
      </w:r>
    </w:p>
    <w:p>
      <w:pPr>
        <w:pStyle w:val="ListBullet"/>
      </w:pPr>
      <w:r>
        <w:t>Email : [securite@entreprise.fr]</w:t>
      </w:r>
    </w:p>
    <w:p>
      <w:pPr>
        <w:pStyle w:val="ListBullet"/>
      </w:pPr>
      <w:r>
        <w:t>Téléphone : [numéro dédié]</w:t>
      </w:r>
    </w:p>
    <w:p>
      <w:pPr>
        <w:pStyle w:val="ListBullet"/>
      </w:pPr>
      <w:r>
        <w:t>Plateforme de ticketing : [URL]</w:t>
      </w:r>
    </w:p>
    <w:p>
      <w:pPr>
        <w:pStyle w:val="Heading2"/>
      </w:pPr>
      <w:r>
        <w:t>9.2 Exemples d'incidents à signaler</w:t>
      </w:r>
    </w:p>
    <w:p>
      <w:pPr>
        <w:pStyle w:val="ListBullet"/>
      </w:pPr>
      <w:r>
        <w:t>Réception d'un email de phishing ou contenant un lien/pièce jointe suspecte</w:t>
      </w:r>
    </w:p>
    <w:p>
      <w:pPr>
        <w:pStyle w:val="ListBullet"/>
      </w:pPr>
      <w:r>
        <w:t>Comportement anormal d'un poste de travail (ralentissements, pop-ups, fichiers chiffrés)</w:t>
      </w:r>
    </w:p>
    <w:p>
      <w:pPr>
        <w:pStyle w:val="ListBullet"/>
      </w:pPr>
      <w:r>
        <w:t>Perte ou vol d'un équipement (ordinateur, téléphone, clé USB)</w:t>
      </w:r>
    </w:p>
    <w:p>
      <w:pPr>
        <w:pStyle w:val="ListBullet"/>
      </w:pPr>
      <w:r>
        <w:t>Accès non autorisé ou tentative d'accès à des données sensibles</w:t>
      </w:r>
    </w:p>
    <w:p>
      <w:pPr>
        <w:pStyle w:val="ListBullet"/>
      </w:pPr>
      <w:r>
        <w:t>Divulgation accidentelle d'informations confidentielles</w:t>
      </w:r>
    </w:p>
    <w:p>
      <w:pPr>
        <w:pStyle w:val="ListBullet"/>
      </w:pPr>
      <w:r>
        <w:t>Découverte d'un mot de passe compromis ou partagé</w:t>
      </w:r>
    </w:p>
    <w:p>
      <w:r>
        <w:br w:type="page"/>
      </w:r>
    </w:p>
    <w:p>
      <w:commentRangeStart w:id="8"/>
      <w:pPr>
        <w:pStyle w:val="Heading1"/>
      </w:pPr>
      <w:r>
        <w:t>10. Sanctions</w:t>
      </w:r>
      <w:commentRangeEnd w:id="8"/>
      <w:r>
        <w:rPr>
          <w:rStyle w:val="CommentReference"/>
        </w:rPr>
        <w:commentReference w:id="8"/>
      </w:r>
    </w:p>
    <w:p>
      <w:r>
        <w:t>Le non-respect des règles définies dans la présente charte expose l'utilisateur à des sanctions disciplinaires pouvant aller jusqu'au licenciement, sans préjudice d'éventuelles poursuites judiciaires.</w:t>
      </w:r>
    </w:p>
    <w:p>
      <w:r>
        <w:t>Les sanctions applicables sont graduées selon la gravité de la faute :</w:t>
      </w:r>
    </w:p>
    <w:tbl>
      <w:tblPr>
        <w:tblStyle w:val="TableGrid"/>
        <w:tblW w:type="auto" w:w="0"/>
        <w:jc w:val="center"/>
        <w:tblLook w:firstColumn="1" w:firstRow="1" w:lastColumn="0" w:lastRow="0" w:noHBand="0" w:noVBand="1" w:val="04A0"/>
      </w:tblPr>
      <w:tblGrid>
        <w:gridCol w:w="2880"/>
        <w:gridCol w:w="2880"/>
        <w:gridCol w:w="2880"/>
      </w:tblGrid>
      <w:tr>
        <w:tc>
          <w:tcPr>
            <w:tcW w:type="dxa" w:w="720"/>
            <w:shd w:fill="00528A" w:val="clear"/>
          </w:tcPr>
          <w:p>
            <w:pPr>
              <w:jc w:val="center"/>
            </w:pPr>
            <w:r>
              <w:rPr>
                <w:b/>
                <w:color w:val="FFFFFF"/>
                <w:sz w:val="18"/>
              </w:rPr>
              <w:t>Niveau</w:t>
            </w:r>
          </w:p>
        </w:tc>
        <w:tc>
          <w:tcPr>
            <w:tcW w:type="dxa" w:w="4320"/>
            <w:shd w:fill="00528A" w:val="clear"/>
          </w:tcPr>
          <w:p>
            <w:pPr>
              <w:jc w:val="center"/>
            </w:pPr>
            <w:r>
              <w:rPr>
                <w:b/>
                <w:color w:val="FFFFFF"/>
                <w:sz w:val="18"/>
              </w:rPr>
              <w:t>Type de manquement</w:t>
            </w:r>
          </w:p>
        </w:tc>
        <w:tc>
          <w:tcPr>
            <w:tcW w:type="dxa" w:w="4320"/>
            <w:shd w:fill="00528A" w:val="clear"/>
          </w:tcPr>
          <w:p>
            <w:pPr>
              <w:jc w:val="center"/>
            </w:pPr>
            <w:r>
              <w:rPr>
                <w:b/>
                <w:color w:val="FFFFFF"/>
                <w:sz w:val="18"/>
              </w:rPr>
              <w:t>Sanction possible</w:t>
            </w:r>
          </w:p>
        </w:tc>
      </w:tr>
      <w:tr>
        <w:tc>
          <w:tcPr>
            <w:tcW w:type="dxa" w:w="720"/>
          </w:tcPr>
          <w:p>
            <w:r>
              <w:rPr>
                <w:sz w:val="18"/>
              </w:rPr>
              <w:t>1</w:t>
            </w:r>
          </w:p>
        </w:tc>
        <w:tc>
          <w:tcPr>
            <w:tcW w:type="dxa" w:w="4320"/>
          </w:tcPr>
          <w:p>
            <w:r>
              <w:rPr>
                <w:sz w:val="18"/>
              </w:rPr>
              <w:t>Manquement mineur (ex: session non verrouillée)</w:t>
            </w:r>
          </w:p>
        </w:tc>
        <w:tc>
          <w:tcPr>
            <w:tcW w:type="dxa" w:w="4320"/>
          </w:tcPr>
          <w:p>
            <w:r>
              <w:rPr>
                <w:sz w:val="18"/>
              </w:rPr>
              <w:t>Rappel à l'ordre / avertissement oral</w:t>
            </w:r>
          </w:p>
        </w:tc>
      </w:tr>
      <w:tr>
        <w:tc>
          <w:tcPr>
            <w:tcW w:type="dxa" w:w="720"/>
          </w:tcPr>
          <w:p>
            <w:r>
              <w:rPr>
                <w:sz w:val="18"/>
              </w:rPr>
              <w:t>2</w:t>
            </w:r>
          </w:p>
        </w:tc>
        <w:tc>
          <w:tcPr>
            <w:tcW w:type="dxa" w:w="4320"/>
          </w:tcPr>
          <w:p>
            <w:r>
              <w:rPr>
                <w:sz w:val="18"/>
              </w:rPr>
              <w:t>Manquement répété ou significatif</w:t>
            </w:r>
          </w:p>
        </w:tc>
        <w:tc>
          <w:tcPr>
            <w:tcW w:type="dxa" w:w="4320"/>
          </w:tcPr>
          <w:p>
            <w:r>
              <w:rPr>
                <w:sz w:val="18"/>
              </w:rPr>
              <w:t>Avertissement écrit</w:t>
            </w:r>
          </w:p>
        </w:tc>
      </w:tr>
      <w:tr>
        <w:tc>
          <w:tcPr>
            <w:tcW w:type="dxa" w:w="720"/>
          </w:tcPr>
          <w:p>
            <w:r>
              <w:rPr>
                <w:sz w:val="18"/>
              </w:rPr>
              <w:t>3</w:t>
            </w:r>
          </w:p>
        </w:tc>
        <w:tc>
          <w:tcPr>
            <w:tcW w:type="dxa" w:w="4320"/>
          </w:tcPr>
          <w:p>
            <w:r>
              <w:rPr>
                <w:sz w:val="18"/>
              </w:rPr>
              <w:t>Manquement grave (ex: installation de logiciel non autorisé, partage de mot de passe)</w:t>
            </w:r>
          </w:p>
        </w:tc>
        <w:tc>
          <w:tcPr>
            <w:tcW w:type="dxa" w:w="4320"/>
          </w:tcPr>
          <w:p>
            <w:r>
              <w:rPr>
                <w:sz w:val="18"/>
              </w:rPr>
              <w:t>Mise à pied disciplinaire</w:t>
            </w:r>
          </w:p>
        </w:tc>
      </w:tr>
      <w:tr>
        <w:tc>
          <w:tcPr>
            <w:tcW w:type="dxa" w:w="720"/>
          </w:tcPr>
          <w:p>
            <w:r>
              <w:rPr>
                <w:sz w:val="18"/>
              </w:rPr>
              <w:t>4</w:t>
            </w:r>
          </w:p>
        </w:tc>
        <w:tc>
          <w:tcPr>
            <w:tcW w:type="dxa" w:w="4320"/>
          </w:tcPr>
          <w:p>
            <w:r>
              <w:rPr>
                <w:sz w:val="18"/>
              </w:rPr>
              <w:t>Faute lourde (ex: vol de données, sabotage, accès frauduleux)</w:t>
            </w:r>
          </w:p>
        </w:tc>
        <w:tc>
          <w:tcPr>
            <w:tcW w:type="dxa" w:w="4320"/>
          </w:tcPr>
          <w:p>
            <w:r>
              <w:rPr>
                <w:sz w:val="18"/>
              </w:rPr>
              <w:t>Licenciement + poursuites judiciaires</w:t>
            </w:r>
          </w:p>
        </w:tc>
      </w:tr>
    </w:tbl>
    <w:p/>
    <w:p>
      <w:r>
        <w:t>Conformément aux articles 323-1 à 323-7 du Code pénal, l'accès ou le maintien frauduleux dans un système de traitement automatisé de données est puni de deux ans d'emprisonnement et de 60 000 € d'amende.</w:t>
      </w:r>
    </w:p>
    <w:p>
      <w:r>
        <w:br w:type="page"/>
      </w:r>
    </w:p>
    <w:p>
      <w:pPr>
        <w:pStyle w:val="Heading1"/>
      </w:pPr>
      <w:r>
        <w:t>11. Engagement et Signature</w:t>
      </w:r>
    </w:p>
    <w:p/>
    <w:p>
      <w:r>
        <w:t>Je soussigné(e) __________________________________________________, occupant le poste de __________________________________________________ au sein de [Nom de l'Entreprise], déclare :</w:t>
      </w:r>
    </w:p>
    <w:p/>
    <w:p>
      <w:r>
        <w:t>☐  Avoir pris connaissance de la présente Charte d'Utilisation des Systèmes d'Information</w:t>
      </w:r>
    </w:p>
    <w:p>
      <w:r>
        <w:t>☐  Avoir compris les règles et obligations qui y sont définies</w:t>
      </w:r>
    </w:p>
    <w:p>
      <w:r>
        <w:t>☐  M'engager à respecter l'ensemble des dispositions de cette charte</w:t>
      </w:r>
    </w:p>
    <w:p>
      <w:r>
        <w:t>☐  Être informé(e) des sanctions encourues en cas de non-respect</w:t>
      </w:r>
    </w:p>
    <w:p/>
    <w:p/>
    <w:tbl>
      <w:tblPr>
        <w:tblStyle w:val="TableGrid"/>
        <w:tblW w:type="auto" w:w="0"/>
        <w:tblLook w:firstColumn="1" w:firstRow="1" w:lastColumn="0" w:lastRow="0" w:noHBand="0" w:noVBand="1" w:val="04A0"/>
      </w:tblPr>
      <w:tblGrid>
        <w:gridCol w:w="4320"/>
        <w:gridCol w:w="4320"/>
      </w:tblGrid>
      <w:tr>
        <w:tc>
          <w:tcPr>
            <w:tcW w:type="dxa" w:w="2160"/>
          </w:tcPr>
          <w:p>
            <w:r>
              <w:rPr>
                <w:b/>
                <w:sz w:val="22"/>
              </w:rPr>
              <w:t>Nom et Prénom :</w:t>
            </w:r>
          </w:p>
        </w:tc>
        <w:tc>
          <w:tcPr>
            <w:tcW w:type="dxa" w:w="7200"/>
          </w:tcPr>
          <w:p>
            <w:r>
              <w:t>____________________________________</w:t>
            </w:r>
          </w:p>
        </w:tc>
      </w:tr>
      <w:tr>
        <w:tc>
          <w:tcPr>
            <w:tcW w:type="dxa" w:w="2160"/>
          </w:tcPr>
          <w:p>
            <w:r>
              <w:rPr>
                <w:b/>
                <w:sz w:val="22"/>
              </w:rPr>
              <w:t>Date :</w:t>
            </w:r>
          </w:p>
        </w:tc>
        <w:tc>
          <w:tcPr>
            <w:tcW w:type="dxa" w:w="7200"/>
          </w:tcPr>
          <w:p>
            <w:r>
              <w:t>____________________________________</w:t>
            </w:r>
          </w:p>
        </w:tc>
      </w:tr>
      <w:tr>
        <w:tc>
          <w:tcPr>
            <w:tcW w:type="dxa" w:w="2160"/>
          </w:tcPr>
          <w:p>
            <w:r>
              <w:rPr>
                <w:b/>
                <w:sz w:val="22"/>
              </w:rPr>
              <w:t>Lieu :</w:t>
            </w:r>
          </w:p>
        </w:tc>
        <w:tc>
          <w:tcPr>
            <w:tcW w:type="dxa" w:w="7200"/>
          </w:tcPr>
          <w:p>
            <w:r>
              <w:t>____________________________________</w:t>
            </w:r>
          </w:p>
        </w:tc>
      </w:tr>
      <w:tr>
        <w:tc>
          <w:tcPr>
            <w:tcW w:type="dxa" w:w="2160"/>
          </w:tcPr>
          <w:p>
            <w:r>
              <w:rPr>
                <w:b/>
                <w:sz w:val="22"/>
              </w:rPr>
              <w:t>Signature :</w:t>
            </w:r>
          </w:p>
        </w:tc>
        <w:tc>
          <w:tcPr>
            <w:tcW w:type="dxa" w:w="7200"/>
          </w:tcPr>
          <w:p>
            <w:r>
              <w:br/>
              <w:br/>
              <w:br/>
              <w:br/>
            </w:r>
          </w:p>
        </w:tc>
      </w:tr>
    </w:tbl>
    <w:p/>
    <w:p/>
    <w:p>
      <w:r>
        <w:rPr>
          <w:b/>
          <w:sz w:val="24"/>
        </w:rPr>
        <w:t>Visa de l'employeur :</w:t>
      </w:r>
    </w:p>
    <w:tbl>
      <w:tblPr>
        <w:tblStyle w:val="TableGrid"/>
        <w:tblW w:type="auto" w:w="0"/>
        <w:tblLook w:firstColumn="1" w:firstRow="1" w:lastColumn="0" w:lastRow="0" w:noHBand="0" w:noVBand="1" w:val="04A0"/>
      </w:tblPr>
      <w:tblGrid>
        <w:gridCol w:w="4320"/>
        <w:gridCol w:w="4320"/>
      </w:tblGrid>
      <w:tr>
        <w:tc>
          <w:tcPr>
            <w:tcW w:type="dxa" w:w="2160"/>
          </w:tcPr>
          <w:p>
            <w:r>
              <w:rPr>
                <w:b/>
                <w:sz w:val="22"/>
              </w:rPr>
              <w:t>Nom et Prénom :</w:t>
            </w:r>
          </w:p>
        </w:tc>
        <w:tc>
          <w:tcPr>
            <w:tcW w:type="dxa" w:w="7200"/>
          </w:tcPr>
          <w:p>
            <w:r>
              <w:t>____________________________________</w:t>
            </w:r>
          </w:p>
        </w:tc>
      </w:tr>
      <w:tr>
        <w:tc>
          <w:tcPr>
            <w:tcW w:type="dxa" w:w="2160"/>
          </w:tcPr>
          <w:p>
            <w:r>
              <w:rPr>
                <w:b/>
                <w:sz w:val="22"/>
              </w:rPr>
              <w:t>Fonction :</w:t>
            </w:r>
          </w:p>
        </w:tc>
        <w:tc>
          <w:tcPr>
            <w:tcW w:type="dxa" w:w="7200"/>
          </w:tcPr>
          <w:p>
            <w:r>
              <w:t>____________________________________</w:t>
            </w:r>
          </w:p>
        </w:tc>
      </w:tr>
      <w:tr>
        <w:tc>
          <w:tcPr>
            <w:tcW w:type="dxa" w:w="2160"/>
          </w:tcPr>
          <w:p>
            <w:r>
              <w:rPr>
                <w:b/>
                <w:sz w:val="22"/>
              </w:rPr>
              <w:t>Date :</w:t>
            </w:r>
          </w:p>
        </w:tc>
        <w:tc>
          <w:tcPr>
            <w:tcW w:type="dxa" w:w="7200"/>
          </w:tcPr>
          <w:p>
            <w:r>
              <w:t>____________________________________</w:t>
            </w:r>
          </w:p>
        </w:tc>
      </w:tr>
      <w:tr>
        <w:tc>
          <w:tcPr>
            <w:tcW w:type="dxa" w:w="2160"/>
          </w:tcPr>
          <w:p>
            <w:r>
              <w:rPr>
                <w:b/>
                <w:sz w:val="22"/>
              </w:rPr>
              <w:t>Signature et cachet :</w:t>
            </w:r>
          </w:p>
        </w:tc>
        <w:tc>
          <w:tcPr>
            <w:tcW w:type="dxa" w:w="7200"/>
          </w:tcPr>
          <w:p>
            <w:r>
              <w:br/>
              <w:br/>
              <w:br/>
              <w:br/>
            </w:r>
          </w:p>
        </w:tc>
      </w:tr>
    </w:tbl>
    <w:sectPr w:rsidR="00FC693F" w:rsidRPr="0006063C"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1" w:author="Ayi NEDJIMI Consultants" w:date="2026-04-04T23:36:14Z">
    <w:p>
      <w:r>
        <w:t>Ce préambule doit être validé par votre service juridique. La charte doit être annexée au règlement intérieur et soumise au CSE (Comité Social et Économique).</w:t>
      </w:r>
    </w:p>
  </w:comment>
  <w:comment w:id="2" w:author="Ayi NEDJIMI Consultants" w:date="2026-04-04T23:36:14Z">
    <w:p>
      <w:r>
        <w:t>Veillez à l'équilibre entre contrôle de l'employeur et respect de la vie privée du salarié (jurisprudence Nikon, CEDH).</w:t>
      </w:r>
    </w:p>
  </w:comment>
  <w:comment w:id="3" w:author="Ayi NEDJIMI Consultants" w:date="2026-04-04T23:36:15Z">
    <w:p>
      <w:r>
        <w:t>Adaptez les règles de messagerie selon les outils déployés dans votre organisation.</w:t>
      </w:r>
    </w:p>
  </w:comment>
  <w:comment w:id="4" w:author="Ayi NEDJIMI Consultants" w:date="2026-04-04T23:36:15Z">
    <w:p>
      <w:r>
        <w:t>Vérifiez que ces catégories sont bien configurées dans votre proxy/filtre web. Adaptez selon votre politique.</w:t>
      </w:r>
    </w:p>
  </w:comment>
  <w:comment w:id="5" w:author="Ayi NEDJIMI Consultants" w:date="2026-04-04T23:36:15Z">
    <w:p>
      <w:r>
        <w:t>Définissez clairement votre politique BYOD (Bring Your Own Device). En l'absence de politique BYOD, interdisez l'usage d'appareils personnels pour accéder au SI.</w:t>
      </w:r>
    </w:p>
  </w:comment>
  <w:comment w:id="6" w:author="Ayi NEDJIMI Consultants" w:date="2026-04-04T23:36:15Z">
    <w:p>
      <w:r>
        <w:t>Cette section doit être revue par votre DPO. Assurez-vous de la cohérence avec votre politique de protection des données.</w:t>
      </w:r>
    </w:p>
  </w:comment>
  <w:comment w:id="7" w:author="Ayi NEDJIMI Consultants" w:date="2026-04-04T23:36:15Z">
    <w:p>
      <w:r>
        <w:t>Précisez les canaux de signalement internes : email dédié, numéro de téléphone, plateforme de ticketing.</w:t>
      </w:r>
    </w:p>
  </w:comment>
  <w:comment w:id="8" w:author="Ayi NEDJIMI Consultants" w:date="2026-04-04T23:36:15Z">
    <w:p>
      <w:r>
        <w:t>Les sanctions doivent être proportionnées et conformes au droit du travail. Faites valider cette section par votre service juridique et le CSE.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6"/>
      </w:rPr>
      <w:t xml:space="preserve">Template par Ayi NEDJIMI Consultants — </w:t>
    </w:r>
    <w:hyperlink r:id="rId1">
      <w:r>
        <w:rPr>
          <w:rStyle w:val="Hyperlink"/>
          <w:color w:val="0052CC"/>
          <w:u w:val="single"/>
          <w:sz w:val="16"/>
        </w:rPr>
        <w:t>ayinedjimi-consultants.fr/iso-27001</w:t>
      </w:r>
    </w:hyperlink>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00528A"/>
        <w:sz w:val="16"/>
      </w:rPr>
      <w:t>Ayi NEDJIMI Consultants — ayinedjimi-consultants.fr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comments" Target="comments.xm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yinedjimi-consultants.fr/iso-27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